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A91D8" w14:textId="1B86CC22" w:rsidR="00304946" w:rsidRPr="00EE63E3" w:rsidRDefault="00304946" w:rsidP="00EE63E3">
      <w:pPr>
        <w:spacing w:before="240" w:after="0" w:line="240" w:lineRule="auto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EE63E3">
        <w:rPr>
          <w:rFonts w:ascii="Open Sans" w:hAnsi="Open Sans" w:cs="Open Sans"/>
          <w:b/>
          <w:bCs/>
          <w:sz w:val="20"/>
          <w:szCs w:val="20"/>
        </w:rPr>
        <w:t xml:space="preserve">Raport bieżący numer </w:t>
      </w:r>
      <w:r w:rsidR="00732BCB">
        <w:rPr>
          <w:rFonts w:ascii="Open Sans" w:hAnsi="Open Sans" w:cs="Open Sans"/>
          <w:b/>
          <w:bCs/>
          <w:sz w:val="20"/>
          <w:szCs w:val="20"/>
        </w:rPr>
        <w:t>6</w:t>
      </w:r>
      <w:r w:rsidRPr="00EE63E3">
        <w:rPr>
          <w:rFonts w:ascii="Open Sans" w:hAnsi="Open Sans" w:cs="Open Sans"/>
          <w:b/>
          <w:bCs/>
          <w:sz w:val="20"/>
          <w:szCs w:val="20"/>
        </w:rPr>
        <w:t>/202</w:t>
      </w:r>
      <w:r w:rsidR="00940189" w:rsidRPr="00EE63E3">
        <w:rPr>
          <w:rFonts w:ascii="Open Sans" w:hAnsi="Open Sans" w:cs="Open Sans"/>
          <w:b/>
          <w:bCs/>
          <w:sz w:val="20"/>
          <w:szCs w:val="20"/>
        </w:rPr>
        <w:t>5</w:t>
      </w:r>
      <w:r w:rsidRPr="00EE63E3">
        <w:rPr>
          <w:rFonts w:ascii="Open Sans" w:hAnsi="Open Sans" w:cs="Open Sans"/>
          <w:b/>
          <w:bCs/>
          <w:sz w:val="20"/>
          <w:szCs w:val="20"/>
        </w:rPr>
        <w:t xml:space="preserve"> z dnia </w:t>
      </w:r>
      <w:r w:rsidR="00732BCB">
        <w:rPr>
          <w:rFonts w:ascii="Open Sans" w:hAnsi="Open Sans" w:cs="Open Sans"/>
          <w:b/>
          <w:bCs/>
          <w:sz w:val="20"/>
          <w:szCs w:val="20"/>
        </w:rPr>
        <w:t xml:space="preserve">7 </w:t>
      </w:r>
      <w:r w:rsidR="00D526A9" w:rsidRPr="00EE63E3">
        <w:rPr>
          <w:rFonts w:ascii="Open Sans" w:hAnsi="Open Sans" w:cs="Open Sans"/>
          <w:b/>
          <w:bCs/>
          <w:sz w:val="20"/>
          <w:szCs w:val="20"/>
        </w:rPr>
        <w:t>kwietnia</w:t>
      </w:r>
      <w:r w:rsidRPr="00EE63E3">
        <w:rPr>
          <w:rFonts w:ascii="Open Sans" w:hAnsi="Open Sans" w:cs="Open Sans"/>
          <w:b/>
          <w:bCs/>
          <w:sz w:val="20"/>
          <w:szCs w:val="20"/>
        </w:rPr>
        <w:t xml:space="preserve"> 202</w:t>
      </w:r>
      <w:r w:rsidR="00940189" w:rsidRPr="00EE63E3">
        <w:rPr>
          <w:rFonts w:ascii="Open Sans" w:hAnsi="Open Sans" w:cs="Open Sans"/>
          <w:b/>
          <w:bCs/>
          <w:sz w:val="20"/>
          <w:szCs w:val="20"/>
        </w:rPr>
        <w:t>5</w:t>
      </w:r>
      <w:r w:rsidRPr="00EE63E3">
        <w:rPr>
          <w:rFonts w:ascii="Open Sans" w:hAnsi="Open Sans" w:cs="Open Sans"/>
          <w:b/>
          <w:bCs/>
          <w:sz w:val="20"/>
          <w:szCs w:val="20"/>
        </w:rPr>
        <w:t xml:space="preserve"> roku</w:t>
      </w:r>
    </w:p>
    <w:p w14:paraId="3AD7B3C9" w14:textId="4AED7680" w:rsidR="00EE63E3" w:rsidRPr="00EE63E3" w:rsidRDefault="00304946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t xml:space="preserve">Zarząd </w:t>
      </w:r>
      <w:r w:rsidR="00AF2C68" w:rsidRPr="00EE63E3">
        <w:rPr>
          <w:rFonts w:ascii="Open Sans" w:hAnsi="Open Sans" w:cs="Open Sans"/>
          <w:sz w:val="20"/>
          <w:szCs w:val="20"/>
        </w:rPr>
        <w:t>VIGO</w:t>
      </w:r>
      <w:r w:rsidRPr="00EE63E3">
        <w:rPr>
          <w:rFonts w:ascii="Open Sans" w:hAnsi="Open Sans" w:cs="Open Sans"/>
          <w:sz w:val="20"/>
          <w:szCs w:val="20"/>
        </w:rPr>
        <w:t xml:space="preserve"> Photonics S.A. </w:t>
      </w:r>
      <w:r w:rsidR="00727BE1" w:rsidRPr="00EE63E3">
        <w:rPr>
          <w:rFonts w:ascii="Open Sans" w:hAnsi="Open Sans" w:cs="Open Sans"/>
          <w:sz w:val="20"/>
          <w:szCs w:val="20"/>
        </w:rPr>
        <w:t>(</w:t>
      </w:r>
      <w:r w:rsidRPr="00EE63E3">
        <w:rPr>
          <w:rFonts w:ascii="Open Sans" w:hAnsi="Open Sans" w:cs="Open Sans"/>
          <w:sz w:val="20"/>
          <w:szCs w:val="20"/>
        </w:rPr>
        <w:t>„Emitent”) informuje, iż w dniu</w:t>
      </w:r>
      <w:r w:rsidR="00A50509">
        <w:rPr>
          <w:rFonts w:ascii="Open Sans" w:hAnsi="Open Sans" w:cs="Open Sans"/>
          <w:sz w:val="20"/>
          <w:szCs w:val="20"/>
        </w:rPr>
        <w:t xml:space="preserve"> 7 </w:t>
      </w:r>
      <w:r w:rsidR="00D526A9" w:rsidRPr="00EE63E3">
        <w:rPr>
          <w:rFonts w:ascii="Open Sans" w:hAnsi="Open Sans" w:cs="Open Sans"/>
          <w:sz w:val="20"/>
          <w:szCs w:val="20"/>
        </w:rPr>
        <w:t>kwietnia</w:t>
      </w:r>
      <w:r w:rsidR="00727BE1" w:rsidRPr="00EE63E3">
        <w:rPr>
          <w:rFonts w:ascii="Open Sans" w:hAnsi="Open Sans" w:cs="Open Sans"/>
          <w:sz w:val="20"/>
          <w:szCs w:val="20"/>
        </w:rPr>
        <w:t xml:space="preserve"> 202</w:t>
      </w:r>
      <w:r w:rsidR="00940189" w:rsidRPr="00EE63E3">
        <w:rPr>
          <w:rFonts w:ascii="Open Sans" w:hAnsi="Open Sans" w:cs="Open Sans"/>
          <w:sz w:val="20"/>
          <w:szCs w:val="20"/>
        </w:rPr>
        <w:t>5</w:t>
      </w:r>
      <w:r w:rsidR="00727BE1" w:rsidRPr="00EE63E3">
        <w:rPr>
          <w:rFonts w:ascii="Open Sans" w:hAnsi="Open Sans" w:cs="Open Sans"/>
          <w:sz w:val="20"/>
          <w:szCs w:val="20"/>
        </w:rPr>
        <w:t xml:space="preserve"> roku</w:t>
      </w:r>
      <w:r w:rsidRPr="00EE63E3">
        <w:rPr>
          <w:rFonts w:ascii="Open Sans" w:hAnsi="Open Sans" w:cs="Open Sans"/>
          <w:sz w:val="20"/>
          <w:szCs w:val="20"/>
        </w:rPr>
        <w:t xml:space="preserve"> pomiędzy Emitentem a </w:t>
      </w:r>
      <w:r w:rsidR="00940189" w:rsidRPr="00EE63E3">
        <w:rPr>
          <w:rFonts w:ascii="Open Sans" w:hAnsi="Open Sans" w:cs="Open Sans"/>
          <w:sz w:val="20"/>
          <w:szCs w:val="20"/>
        </w:rPr>
        <w:t xml:space="preserve">polskim producentem wyrobów optoelektronicznych z branży obronności PCO S.A. </w:t>
      </w:r>
      <w:r w:rsidR="00727BE1" w:rsidRPr="00EE63E3">
        <w:rPr>
          <w:rFonts w:ascii="Open Sans" w:hAnsi="Open Sans" w:cs="Open Sans"/>
          <w:sz w:val="20"/>
          <w:szCs w:val="20"/>
        </w:rPr>
        <w:t xml:space="preserve"> </w:t>
      </w:r>
      <w:r w:rsidR="000D3E92" w:rsidRPr="00EE63E3">
        <w:rPr>
          <w:rFonts w:ascii="Open Sans" w:hAnsi="Open Sans" w:cs="Open Sans"/>
          <w:sz w:val="20"/>
          <w:szCs w:val="20"/>
        </w:rPr>
        <w:t>(„</w:t>
      </w:r>
      <w:r w:rsidR="00F40BD9" w:rsidRPr="00EE63E3">
        <w:rPr>
          <w:rFonts w:ascii="Open Sans" w:hAnsi="Open Sans" w:cs="Open Sans"/>
          <w:sz w:val="20"/>
          <w:szCs w:val="20"/>
        </w:rPr>
        <w:t>PCO</w:t>
      </w:r>
      <w:r w:rsidR="000D3E92" w:rsidRPr="00EE63E3">
        <w:rPr>
          <w:rFonts w:ascii="Open Sans" w:hAnsi="Open Sans" w:cs="Open Sans"/>
          <w:sz w:val="20"/>
          <w:szCs w:val="20"/>
        </w:rPr>
        <w:t xml:space="preserve">”) </w:t>
      </w:r>
      <w:r w:rsidR="00727BE1" w:rsidRPr="00EE63E3">
        <w:rPr>
          <w:rFonts w:ascii="Open Sans" w:hAnsi="Open Sans" w:cs="Open Sans"/>
          <w:sz w:val="20"/>
          <w:szCs w:val="20"/>
        </w:rPr>
        <w:t>została</w:t>
      </w:r>
      <w:r w:rsidRPr="00EE63E3">
        <w:rPr>
          <w:rFonts w:ascii="Open Sans" w:hAnsi="Open Sans" w:cs="Open Sans"/>
          <w:sz w:val="20"/>
          <w:szCs w:val="20"/>
        </w:rPr>
        <w:t xml:space="preserve"> zawarta </w:t>
      </w:r>
      <w:r w:rsidR="00CA03E0" w:rsidRPr="00EE63E3">
        <w:rPr>
          <w:rFonts w:ascii="Open Sans" w:hAnsi="Open Sans" w:cs="Open Sans"/>
          <w:sz w:val="20"/>
          <w:szCs w:val="20"/>
        </w:rPr>
        <w:t xml:space="preserve">umowa </w:t>
      </w:r>
      <w:r w:rsidR="00727BE1" w:rsidRPr="00EE63E3">
        <w:rPr>
          <w:rFonts w:ascii="Open Sans" w:hAnsi="Open Sans" w:cs="Open Sans"/>
          <w:sz w:val="20"/>
          <w:szCs w:val="20"/>
        </w:rPr>
        <w:t>ramowa dotycząca</w:t>
      </w:r>
      <w:r w:rsidR="00CA03E0" w:rsidRPr="00EE63E3">
        <w:rPr>
          <w:rFonts w:ascii="Open Sans" w:hAnsi="Open Sans" w:cs="Open Sans"/>
          <w:sz w:val="20"/>
          <w:szCs w:val="20"/>
        </w:rPr>
        <w:t xml:space="preserve"> </w:t>
      </w:r>
      <w:r w:rsidR="00727BE1" w:rsidRPr="00EE63E3">
        <w:rPr>
          <w:rFonts w:ascii="Open Sans" w:hAnsi="Open Sans" w:cs="Open Sans"/>
          <w:sz w:val="20"/>
          <w:szCs w:val="20"/>
        </w:rPr>
        <w:t xml:space="preserve">dostaw </w:t>
      </w:r>
      <w:r w:rsidR="00F832A1" w:rsidRPr="00EE63E3">
        <w:rPr>
          <w:rFonts w:ascii="Open Sans" w:hAnsi="Open Sans" w:cs="Open Sans"/>
          <w:sz w:val="20"/>
          <w:szCs w:val="20"/>
        </w:rPr>
        <w:t>chłodzon</w:t>
      </w:r>
      <w:r w:rsidR="00F40BD9" w:rsidRPr="00EE63E3">
        <w:rPr>
          <w:rFonts w:ascii="Open Sans" w:hAnsi="Open Sans" w:cs="Open Sans"/>
          <w:sz w:val="20"/>
          <w:szCs w:val="20"/>
        </w:rPr>
        <w:t>ych</w:t>
      </w:r>
      <w:r w:rsidR="00F832A1" w:rsidRPr="00EE63E3">
        <w:rPr>
          <w:rFonts w:ascii="Open Sans" w:hAnsi="Open Sans" w:cs="Open Sans"/>
          <w:sz w:val="20"/>
          <w:szCs w:val="20"/>
        </w:rPr>
        <w:t xml:space="preserve"> matryc podczerwieni </w:t>
      </w:r>
      <w:r w:rsidR="00EB0EA3" w:rsidRPr="00EE63E3">
        <w:rPr>
          <w:rFonts w:ascii="Open Sans" w:hAnsi="Open Sans" w:cs="Open Sans"/>
          <w:sz w:val="20"/>
          <w:szCs w:val="20"/>
        </w:rPr>
        <w:t>przez</w:t>
      </w:r>
      <w:r w:rsidR="000A3A63" w:rsidRPr="00EE63E3">
        <w:rPr>
          <w:rFonts w:ascii="Open Sans" w:hAnsi="Open Sans" w:cs="Open Sans"/>
          <w:sz w:val="20"/>
          <w:szCs w:val="20"/>
        </w:rPr>
        <w:t>n</w:t>
      </w:r>
      <w:r w:rsidR="00EB0EA3" w:rsidRPr="00EE63E3">
        <w:rPr>
          <w:rFonts w:ascii="Open Sans" w:hAnsi="Open Sans" w:cs="Open Sans"/>
          <w:sz w:val="20"/>
          <w:szCs w:val="20"/>
        </w:rPr>
        <w:t>aczonych</w:t>
      </w:r>
      <w:r w:rsidR="00F832A1" w:rsidRPr="00EE63E3">
        <w:rPr>
          <w:rFonts w:ascii="Open Sans" w:hAnsi="Open Sans" w:cs="Open Sans"/>
          <w:sz w:val="20"/>
          <w:szCs w:val="20"/>
        </w:rPr>
        <w:t xml:space="preserve"> </w:t>
      </w:r>
      <w:r w:rsidR="000A3A63" w:rsidRPr="00EE63E3">
        <w:rPr>
          <w:rFonts w:ascii="Open Sans" w:hAnsi="Open Sans" w:cs="Open Sans"/>
          <w:sz w:val="20"/>
          <w:szCs w:val="20"/>
        </w:rPr>
        <w:t xml:space="preserve">do </w:t>
      </w:r>
      <w:r w:rsidR="00F832A1" w:rsidRPr="00EE63E3">
        <w:rPr>
          <w:rFonts w:ascii="Open Sans" w:hAnsi="Open Sans" w:cs="Open Sans"/>
          <w:sz w:val="20"/>
          <w:szCs w:val="20"/>
        </w:rPr>
        <w:t>kamer termowizyjn</w:t>
      </w:r>
      <w:r w:rsidR="000A3A63" w:rsidRPr="00EE63E3">
        <w:rPr>
          <w:rFonts w:ascii="Open Sans" w:hAnsi="Open Sans" w:cs="Open Sans"/>
          <w:sz w:val="20"/>
          <w:szCs w:val="20"/>
        </w:rPr>
        <w:t>ych</w:t>
      </w:r>
      <w:r w:rsidR="00F832A1" w:rsidRPr="00EE63E3" w:rsidDel="00F832A1">
        <w:rPr>
          <w:rFonts w:ascii="Open Sans" w:hAnsi="Open Sans" w:cs="Open Sans"/>
          <w:sz w:val="20"/>
          <w:szCs w:val="20"/>
        </w:rPr>
        <w:t xml:space="preserve"> </w:t>
      </w:r>
      <w:r w:rsidR="00B070EC" w:rsidRPr="00EE63E3">
        <w:rPr>
          <w:rFonts w:ascii="Open Sans" w:hAnsi="Open Sans" w:cs="Open Sans"/>
          <w:sz w:val="20"/>
          <w:szCs w:val="20"/>
        </w:rPr>
        <w:t>(„</w:t>
      </w:r>
      <w:r w:rsidR="00F832A1" w:rsidRPr="00EE63E3">
        <w:rPr>
          <w:rFonts w:ascii="Open Sans" w:hAnsi="Open Sans" w:cs="Open Sans"/>
          <w:sz w:val="20"/>
          <w:szCs w:val="20"/>
        </w:rPr>
        <w:t>Matryce</w:t>
      </w:r>
      <w:r w:rsidR="00B070EC" w:rsidRPr="00EE63E3">
        <w:rPr>
          <w:rFonts w:ascii="Open Sans" w:hAnsi="Open Sans" w:cs="Open Sans"/>
          <w:sz w:val="20"/>
          <w:szCs w:val="20"/>
        </w:rPr>
        <w:t>”)</w:t>
      </w:r>
      <w:r w:rsidR="00AF2C68" w:rsidRPr="00EE63E3">
        <w:rPr>
          <w:rFonts w:ascii="Open Sans" w:hAnsi="Open Sans" w:cs="Open Sans"/>
          <w:sz w:val="20"/>
          <w:szCs w:val="20"/>
        </w:rPr>
        <w:t xml:space="preserve"> </w:t>
      </w:r>
      <w:r w:rsidR="000A3A63" w:rsidRPr="00EE63E3">
        <w:rPr>
          <w:rFonts w:ascii="Open Sans" w:hAnsi="Open Sans" w:cs="Open Sans"/>
          <w:sz w:val="20"/>
          <w:szCs w:val="20"/>
        </w:rPr>
        <w:t>do zastosowań wojskowych.</w:t>
      </w:r>
      <w:r w:rsidR="005815AB" w:rsidRPr="005815AB">
        <w:rPr>
          <w:rFonts w:ascii="Open Sans" w:hAnsi="Open Sans" w:cs="Open Sans"/>
          <w:sz w:val="20"/>
          <w:szCs w:val="20"/>
        </w:rPr>
        <w:t xml:space="preserve"> </w:t>
      </w:r>
      <w:r w:rsidR="005815AB">
        <w:rPr>
          <w:rFonts w:ascii="Open Sans" w:hAnsi="Open Sans" w:cs="Open Sans"/>
          <w:sz w:val="20"/>
          <w:szCs w:val="20"/>
        </w:rPr>
        <w:t>Matryce produkowane przez Emitenta przeznaczone są do stosowania m.in. w wozach i platformach bojowych będących na wyposażeniu polskiej armii</w:t>
      </w:r>
      <w:r w:rsidR="00A77FBA">
        <w:rPr>
          <w:rFonts w:ascii="Open Sans" w:hAnsi="Open Sans" w:cs="Open Sans"/>
          <w:sz w:val="20"/>
          <w:szCs w:val="20"/>
        </w:rPr>
        <w:t xml:space="preserve">. </w:t>
      </w:r>
      <w:r w:rsidR="00940189" w:rsidRPr="00EE63E3">
        <w:rPr>
          <w:rFonts w:ascii="Open Sans" w:hAnsi="Open Sans" w:cs="Open Sans"/>
          <w:sz w:val="20"/>
          <w:szCs w:val="20"/>
        </w:rPr>
        <w:t xml:space="preserve">Celem Umowy jest określenie zasad i warunków długoterminowej współpracy Stron zmierzającej do: </w:t>
      </w:r>
    </w:p>
    <w:p w14:paraId="709A9F3F" w14:textId="5C72CAB7" w:rsidR="00940189" w:rsidRPr="00EE63E3" w:rsidRDefault="00940189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t xml:space="preserve">a) końcowego opracowania przez </w:t>
      </w:r>
      <w:r w:rsidR="00F40BD9" w:rsidRPr="00EE63E3">
        <w:rPr>
          <w:rFonts w:ascii="Open Sans" w:hAnsi="Open Sans" w:cs="Open Sans"/>
          <w:sz w:val="20"/>
          <w:szCs w:val="20"/>
        </w:rPr>
        <w:t>Emitenta</w:t>
      </w:r>
      <w:r w:rsidRPr="00EE63E3">
        <w:rPr>
          <w:rFonts w:ascii="Open Sans" w:hAnsi="Open Sans" w:cs="Open Sans"/>
          <w:sz w:val="20"/>
          <w:szCs w:val="20"/>
        </w:rPr>
        <w:t xml:space="preserve"> Matryc zgodnych z zapotrzebowaniem PCO, przeprowadzania przez PCO badań Matryc oraz podjęcia innych czynności określonych w Umowie;</w:t>
      </w:r>
    </w:p>
    <w:p w14:paraId="2D95419B" w14:textId="08D9F769" w:rsidR="00940189" w:rsidRPr="00EE63E3" w:rsidRDefault="00940189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t xml:space="preserve">b) produkcji przez </w:t>
      </w:r>
      <w:r w:rsidR="00F40BD9" w:rsidRPr="00EE63E3">
        <w:rPr>
          <w:rFonts w:ascii="Open Sans" w:hAnsi="Open Sans" w:cs="Open Sans"/>
          <w:sz w:val="20"/>
          <w:szCs w:val="20"/>
        </w:rPr>
        <w:t>Emitenta</w:t>
      </w:r>
      <w:r w:rsidRPr="00EE63E3">
        <w:rPr>
          <w:rFonts w:ascii="Open Sans" w:hAnsi="Open Sans" w:cs="Open Sans"/>
          <w:sz w:val="20"/>
          <w:szCs w:val="20"/>
        </w:rPr>
        <w:t xml:space="preserve"> Matryc i ich sprzedaży na rzecz PCO w celu ich wykorzystania w wyrobach własnych PCO lub w celu ich dalszej odsprzedaży (dystrybucji) na terytorium </w:t>
      </w:r>
      <w:r w:rsidR="00FA1E94">
        <w:rPr>
          <w:rFonts w:ascii="Open Sans" w:hAnsi="Open Sans" w:cs="Open Sans"/>
          <w:sz w:val="20"/>
          <w:szCs w:val="20"/>
        </w:rPr>
        <w:t>Rzeczypospolitej Polskiej</w:t>
      </w:r>
      <w:r w:rsidRPr="00EE63E3">
        <w:rPr>
          <w:rFonts w:ascii="Open Sans" w:hAnsi="Open Sans" w:cs="Open Sans"/>
          <w:sz w:val="20"/>
          <w:szCs w:val="20"/>
        </w:rPr>
        <w:t>.</w:t>
      </w:r>
    </w:p>
    <w:p w14:paraId="11AF8AF0" w14:textId="295C6F39" w:rsidR="00D526A9" w:rsidRDefault="00D526A9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t xml:space="preserve">Umowa została zawarta na czas określony do 31 grudnia 2031 r. Zgodnie z Umową </w:t>
      </w:r>
      <w:r w:rsidR="00E1450D" w:rsidRPr="00EE63E3">
        <w:rPr>
          <w:rFonts w:ascii="Open Sans" w:hAnsi="Open Sans" w:cs="Open Sans"/>
          <w:sz w:val="20"/>
          <w:szCs w:val="20"/>
        </w:rPr>
        <w:t>E</w:t>
      </w:r>
      <w:r w:rsidRPr="00EE63E3">
        <w:rPr>
          <w:rFonts w:ascii="Open Sans" w:hAnsi="Open Sans" w:cs="Open Sans"/>
          <w:sz w:val="20"/>
          <w:szCs w:val="20"/>
        </w:rPr>
        <w:t xml:space="preserve">mitent ma dostarczyć do końca 2025 r. odpowiednią </w:t>
      </w:r>
      <w:r w:rsidR="00A77FBA">
        <w:rPr>
          <w:rFonts w:ascii="Open Sans" w:hAnsi="Open Sans" w:cs="Open Sans"/>
          <w:sz w:val="20"/>
          <w:szCs w:val="20"/>
        </w:rPr>
        <w:t xml:space="preserve">liczbę </w:t>
      </w:r>
      <w:r w:rsidR="00A77FBA" w:rsidRPr="00EE63E3">
        <w:rPr>
          <w:rFonts w:ascii="Open Sans" w:hAnsi="Open Sans" w:cs="Open Sans"/>
          <w:sz w:val="20"/>
          <w:szCs w:val="20"/>
        </w:rPr>
        <w:t xml:space="preserve"> </w:t>
      </w:r>
      <w:r w:rsidRPr="00EE63E3">
        <w:rPr>
          <w:rFonts w:ascii="Open Sans" w:hAnsi="Open Sans" w:cs="Open Sans"/>
          <w:sz w:val="20"/>
          <w:szCs w:val="20"/>
        </w:rPr>
        <w:t>Matryc do testów. Pomyślne przejście badań pozwoli na przejście do fazy produkcji i sprzedaży Matryc do PCO</w:t>
      </w:r>
      <w:r w:rsidR="00316C2A">
        <w:rPr>
          <w:rFonts w:ascii="Open Sans" w:hAnsi="Open Sans" w:cs="Open Sans"/>
          <w:sz w:val="20"/>
          <w:szCs w:val="20"/>
        </w:rPr>
        <w:t xml:space="preserve">, co przewidywane jest z początkiem </w:t>
      </w:r>
      <w:r w:rsidR="002C2637">
        <w:rPr>
          <w:rFonts w:ascii="Open Sans" w:hAnsi="Open Sans" w:cs="Open Sans"/>
          <w:sz w:val="20"/>
          <w:szCs w:val="20"/>
        </w:rPr>
        <w:t>2026</w:t>
      </w:r>
      <w:r w:rsidR="00A77FBA">
        <w:rPr>
          <w:rFonts w:ascii="Open Sans" w:hAnsi="Open Sans" w:cs="Open Sans"/>
          <w:sz w:val="20"/>
          <w:szCs w:val="20"/>
        </w:rPr>
        <w:t xml:space="preserve"> r</w:t>
      </w:r>
      <w:r w:rsidRPr="00EE63E3">
        <w:rPr>
          <w:rFonts w:ascii="Open Sans" w:hAnsi="Open Sans" w:cs="Open Sans"/>
          <w:sz w:val="20"/>
          <w:szCs w:val="20"/>
        </w:rPr>
        <w:t>. Z dniem rozpoczęcia fazy produkcji i sprzedaży Emitent jest zobowiązany do produkcji i sprzedaży Matryc, a PCO do zakupu i odbioru Matryc na zasadach i warunkach określonych w Umowie.</w:t>
      </w:r>
      <w:r w:rsidR="00A77FBA">
        <w:rPr>
          <w:rFonts w:ascii="Open Sans" w:hAnsi="Open Sans" w:cs="Open Sans"/>
          <w:sz w:val="20"/>
          <w:szCs w:val="20"/>
        </w:rPr>
        <w:t xml:space="preserve"> </w:t>
      </w:r>
      <w:r w:rsidRPr="00EE63E3">
        <w:rPr>
          <w:rFonts w:ascii="Open Sans" w:hAnsi="Open Sans" w:cs="Open Sans"/>
          <w:sz w:val="20"/>
          <w:szCs w:val="20"/>
        </w:rPr>
        <w:t>Emitent zobowiązał się do zapewnienia odpowiednich zdolności produkcyjnych Matryc począwszy od 2026 r.</w:t>
      </w:r>
      <w:r w:rsidR="00807840">
        <w:rPr>
          <w:rFonts w:ascii="Open Sans" w:hAnsi="Open Sans" w:cs="Open Sans"/>
          <w:sz w:val="20"/>
          <w:szCs w:val="20"/>
        </w:rPr>
        <w:t xml:space="preserve"> Emitent będzie informował o postępach w realizacji Umowy we właściwych raportach.</w:t>
      </w:r>
    </w:p>
    <w:p w14:paraId="61BAEF4E" w14:textId="5F05D8A2" w:rsidR="00D526A9" w:rsidRPr="00EE63E3" w:rsidRDefault="00D526A9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t xml:space="preserve">Zgodnie z Umową PCO zobowiązane jest do zamawiania </w:t>
      </w:r>
      <w:r w:rsidR="003F0C04" w:rsidRPr="00EE63E3">
        <w:rPr>
          <w:rFonts w:ascii="Open Sans" w:hAnsi="Open Sans" w:cs="Open Sans"/>
          <w:sz w:val="20"/>
          <w:szCs w:val="20"/>
        </w:rPr>
        <w:t xml:space="preserve">w każdym roku obowiązywania Umowy co najmniej określonej </w:t>
      </w:r>
      <w:r w:rsidR="005D49B2" w:rsidRPr="00EE63E3">
        <w:rPr>
          <w:rFonts w:ascii="Open Sans" w:hAnsi="Open Sans" w:cs="Open Sans"/>
          <w:sz w:val="20"/>
          <w:szCs w:val="20"/>
        </w:rPr>
        <w:t xml:space="preserve">(minimalnej) </w:t>
      </w:r>
      <w:r w:rsidR="003F0C04" w:rsidRPr="00EE63E3">
        <w:rPr>
          <w:rFonts w:ascii="Open Sans" w:hAnsi="Open Sans" w:cs="Open Sans"/>
          <w:sz w:val="20"/>
          <w:szCs w:val="20"/>
        </w:rPr>
        <w:t>części swojego zapotrzebowania na Matryce</w:t>
      </w:r>
      <w:r w:rsidR="007D5623">
        <w:rPr>
          <w:rFonts w:ascii="Open Sans" w:hAnsi="Open Sans" w:cs="Open Sans"/>
          <w:sz w:val="20"/>
          <w:szCs w:val="20"/>
        </w:rPr>
        <w:t>,</w:t>
      </w:r>
      <w:r w:rsidR="00A77FBA">
        <w:rPr>
          <w:rFonts w:ascii="Open Sans" w:hAnsi="Open Sans" w:cs="Open Sans"/>
          <w:sz w:val="20"/>
          <w:szCs w:val="20"/>
        </w:rPr>
        <w:t xml:space="preserve"> </w:t>
      </w:r>
      <w:r w:rsidRPr="00EE63E3">
        <w:rPr>
          <w:rFonts w:ascii="Open Sans" w:hAnsi="Open Sans" w:cs="Open Sans"/>
          <w:sz w:val="20"/>
          <w:szCs w:val="20"/>
        </w:rPr>
        <w:t>pod warunkiem posiadania przez PCO zamówień, w których wykorzystywane są Matryce.</w:t>
      </w:r>
      <w:r w:rsidR="003F0C04" w:rsidRPr="00EE63E3">
        <w:rPr>
          <w:rFonts w:ascii="Open Sans" w:hAnsi="Open Sans" w:cs="Open Sans"/>
          <w:sz w:val="20"/>
          <w:szCs w:val="20"/>
        </w:rPr>
        <w:t xml:space="preserve"> </w:t>
      </w:r>
      <w:r w:rsidR="005D49B2" w:rsidRPr="00EE63E3">
        <w:rPr>
          <w:rFonts w:ascii="Open Sans" w:hAnsi="Open Sans" w:cs="Open Sans"/>
          <w:sz w:val="20"/>
          <w:szCs w:val="20"/>
        </w:rPr>
        <w:t>PCO może złożyć Zamówienie przekraczające prognozowane możliwości produkcyjne Matryc po uprzednim uzgodnieniu z Emitentem zwiększenia możliwości produkcyjnych określonych dla danego roku.</w:t>
      </w:r>
    </w:p>
    <w:p w14:paraId="5AE347A7" w14:textId="4791A80A" w:rsidR="000A3A63" w:rsidRPr="00EE63E3" w:rsidRDefault="00D526A9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t>Sza</w:t>
      </w:r>
      <w:r w:rsidR="003F0C04" w:rsidRPr="00EE63E3">
        <w:rPr>
          <w:rFonts w:ascii="Open Sans" w:hAnsi="Open Sans" w:cs="Open Sans"/>
          <w:sz w:val="20"/>
          <w:szCs w:val="20"/>
        </w:rPr>
        <w:t>cowana wartość umowy</w:t>
      </w:r>
      <w:r w:rsidR="005D49B2" w:rsidRPr="00EE63E3">
        <w:rPr>
          <w:rFonts w:ascii="Open Sans" w:hAnsi="Open Sans" w:cs="Open Sans"/>
          <w:sz w:val="20"/>
          <w:szCs w:val="20"/>
        </w:rPr>
        <w:t xml:space="preserve">, odpowiadająca minimalnym zamówieniom Matryc, bez uwzględnienia sprzedaży w ramach </w:t>
      </w:r>
      <w:r w:rsidR="007D5623" w:rsidRPr="00EE63E3">
        <w:rPr>
          <w:rFonts w:ascii="Open Sans" w:hAnsi="Open Sans" w:cs="Open Sans"/>
          <w:sz w:val="20"/>
          <w:szCs w:val="20"/>
        </w:rPr>
        <w:t>dystrybucji wynosi</w:t>
      </w:r>
      <w:r w:rsidR="003F0C04" w:rsidRPr="00EE63E3">
        <w:rPr>
          <w:rFonts w:ascii="Open Sans" w:hAnsi="Open Sans" w:cs="Open Sans"/>
          <w:sz w:val="20"/>
          <w:szCs w:val="20"/>
        </w:rPr>
        <w:t xml:space="preserve"> 191 860 000 zł (słownie:</w:t>
      </w:r>
      <w:r w:rsidR="005D49B2" w:rsidRPr="00EE63E3">
        <w:rPr>
          <w:rFonts w:ascii="Open Sans" w:hAnsi="Open Sans" w:cs="Open Sans"/>
          <w:sz w:val="20"/>
          <w:szCs w:val="20"/>
        </w:rPr>
        <w:t xml:space="preserve"> sto dziewięćdziesiąt jeden milionów osiemset sześćdziesiąt tysięcy zł</w:t>
      </w:r>
      <w:r w:rsidR="003F0C04" w:rsidRPr="00EE63E3">
        <w:rPr>
          <w:rFonts w:ascii="Open Sans" w:hAnsi="Open Sans" w:cs="Open Sans"/>
          <w:sz w:val="20"/>
          <w:szCs w:val="20"/>
        </w:rPr>
        <w:t>).</w:t>
      </w:r>
      <w:r w:rsidR="005D49B2" w:rsidRPr="00EE63E3">
        <w:rPr>
          <w:rFonts w:ascii="Open Sans" w:hAnsi="Open Sans" w:cs="Open Sans"/>
          <w:sz w:val="20"/>
          <w:szCs w:val="20"/>
        </w:rPr>
        <w:t xml:space="preserve"> </w:t>
      </w:r>
      <w:r w:rsidR="00F40BD9" w:rsidRPr="00EE63E3">
        <w:rPr>
          <w:rFonts w:ascii="Open Sans" w:hAnsi="Open Sans" w:cs="Open Sans"/>
          <w:sz w:val="20"/>
          <w:szCs w:val="20"/>
        </w:rPr>
        <w:t xml:space="preserve">Umowa została uznana za znaczącą z uwagi na </w:t>
      </w:r>
      <w:r w:rsidR="005D49B2" w:rsidRPr="00EE63E3">
        <w:rPr>
          <w:rFonts w:ascii="Open Sans" w:hAnsi="Open Sans" w:cs="Open Sans"/>
          <w:sz w:val="20"/>
          <w:szCs w:val="20"/>
        </w:rPr>
        <w:t xml:space="preserve">wartość </w:t>
      </w:r>
      <w:r w:rsidR="00F40BD9" w:rsidRPr="00EE63E3">
        <w:rPr>
          <w:rFonts w:ascii="Open Sans" w:hAnsi="Open Sans" w:cs="Open Sans"/>
          <w:sz w:val="20"/>
          <w:szCs w:val="20"/>
        </w:rPr>
        <w:t>przekr</w:t>
      </w:r>
      <w:r w:rsidR="005D49B2" w:rsidRPr="00EE63E3">
        <w:rPr>
          <w:rFonts w:ascii="Open Sans" w:hAnsi="Open Sans" w:cs="Open Sans"/>
          <w:sz w:val="20"/>
          <w:szCs w:val="20"/>
        </w:rPr>
        <w:t>a</w:t>
      </w:r>
      <w:r w:rsidR="00F40BD9" w:rsidRPr="00EE63E3">
        <w:rPr>
          <w:rFonts w:ascii="Open Sans" w:hAnsi="Open Sans" w:cs="Open Sans"/>
          <w:sz w:val="20"/>
          <w:szCs w:val="20"/>
        </w:rPr>
        <w:t>cz</w:t>
      </w:r>
      <w:r w:rsidR="005D49B2" w:rsidRPr="00EE63E3">
        <w:rPr>
          <w:rFonts w:ascii="Open Sans" w:hAnsi="Open Sans" w:cs="Open Sans"/>
          <w:sz w:val="20"/>
          <w:szCs w:val="20"/>
        </w:rPr>
        <w:t xml:space="preserve">ającą </w:t>
      </w:r>
      <w:r w:rsidR="00F40BD9" w:rsidRPr="00EE63E3">
        <w:rPr>
          <w:rFonts w:ascii="Open Sans" w:hAnsi="Open Sans" w:cs="Open Sans"/>
          <w:sz w:val="20"/>
          <w:szCs w:val="20"/>
        </w:rPr>
        <w:t>10% kapitałów własnych Emitenta.</w:t>
      </w:r>
      <w:r w:rsidR="004434B5">
        <w:rPr>
          <w:rFonts w:ascii="Open Sans" w:hAnsi="Open Sans" w:cs="Open Sans"/>
          <w:sz w:val="20"/>
          <w:szCs w:val="20"/>
        </w:rPr>
        <w:t xml:space="preserve"> </w:t>
      </w:r>
      <w:r w:rsidR="007D5623">
        <w:rPr>
          <w:rFonts w:ascii="Open Sans" w:hAnsi="Open Sans" w:cs="Open Sans"/>
          <w:sz w:val="20"/>
          <w:szCs w:val="20"/>
        </w:rPr>
        <w:t xml:space="preserve">Od ewentualnej sprzedaży w ramach dystrybucji Emitent będzie zobowiązany do zapłaty prowizji dla PCO, </w:t>
      </w:r>
      <w:r w:rsidR="00A77FBA">
        <w:rPr>
          <w:rFonts w:ascii="Open Sans" w:hAnsi="Open Sans" w:cs="Open Sans"/>
          <w:sz w:val="20"/>
          <w:szCs w:val="20"/>
        </w:rPr>
        <w:t xml:space="preserve">na warunkach opisanych poniżej. </w:t>
      </w:r>
      <w:r w:rsidR="007D5623">
        <w:rPr>
          <w:rFonts w:ascii="Open Sans" w:hAnsi="Open Sans" w:cs="Open Sans"/>
          <w:sz w:val="20"/>
          <w:szCs w:val="20"/>
        </w:rPr>
        <w:t xml:space="preserve"> </w:t>
      </w:r>
    </w:p>
    <w:p w14:paraId="6395EE48" w14:textId="0415843B" w:rsidR="00F40BD9" w:rsidRPr="00EE63E3" w:rsidRDefault="00911CDD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t>Całkowita łączna odpowiedzialność Emitenta</w:t>
      </w:r>
      <w:r w:rsidR="00F832A1" w:rsidRPr="00EE63E3">
        <w:rPr>
          <w:rFonts w:ascii="Open Sans" w:hAnsi="Open Sans" w:cs="Open Sans"/>
          <w:sz w:val="20"/>
          <w:szCs w:val="20"/>
        </w:rPr>
        <w:t xml:space="preserve"> </w:t>
      </w:r>
      <w:r w:rsidRPr="00EE63E3">
        <w:rPr>
          <w:rFonts w:ascii="Open Sans" w:hAnsi="Open Sans" w:cs="Open Sans"/>
          <w:sz w:val="20"/>
          <w:szCs w:val="20"/>
        </w:rPr>
        <w:t xml:space="preserve">w ramach realizacji Umowy z jakiegokolwiek tytułu (odpowiedniość kontraktowa) jest ograniczona do kwoty równej 20% wartości wszystkich złożonych zamówień w momencie naruszenia przez </w:t>
      </w:r>
      <w:r w:rsidR="007079FA" w:rsidRPr="00EE63E3">
        <w:rPr>
          <w:rFonts w:ascii="Open Sans" w:hAnsi="Open Sans" w:cs="Open Sans"/>
          <w:sz w:val="20"/>
          <w:szCs w:val="20"/>
        </w:rPr>
        <w:t>Emitenta</w:t>
      </w:r>
      <w:r w:rsidRPr="00EE63E3">
        <w:rPr>
          <w:rFonts w:ascii="Open Sans" w:hAnsi="Open Sans" w:cs="Open Sans"/>
          <w:sz w:val="20"/>
          <w:szCs w:val="20"/>
        </w:rPr>
        <w:t xml:space="preserve"> postanowień Umowy</w:t>
      </w:r>
      <w:r w:rsidR="005D49B2" w:rsidRPr="00EE63E3">
        <w:rPr>
          <w:rFonts w:ascii="Open Sans" w:hAnsi="Open Sans" w:cs="Open Sans"/>
          <w:sz w:val="20"/>
          <w:szCs w:val="20"/>
        </w:rPr>
        <w:t>,</w:t>
      </w:r>
      <w:r w:rsidRPr="00EE63E3">
        <w:rPr>
          <w:rFonts w:ascii="Open Sans" w:hAnsi="Open Sans" w:cs="Open Sans"/>
          <w:sz w:val="20"/>
          <w:szCs w:val="20"/>
        </w:rPr>
        <w:t xml:space="preserve"> lecz nie więcej niż 20.000.000 zł. </w:t>
      </w:r>
    </w:p>
    <w:p w14:paraId="54E3D9F1" w14:textId="487E7CBC" w:rsidR="002706BF" w:rsidRPr="00EE63E3" w:rsidRDefault="007079FA" w:rsidP="00EE63E3">
      <w:pPr>
        <w:spacing w:before="240" w:after="0" w:line="240" w:lineRule="auto"/>
        <w:jc w:val="both"/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</w:pPr>
      <w:r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Całkowita łączna odpowiedzialność PCO w ramach realizacji Umowy z jakiegokolwiek tytułu (odpowiedzialność kontraktowa), nie może przekroczyć 20.000.000 zł. </w:t>
      </w:r>
    </w:p>
    <w:p w14:paraId="2243D69B" w14:textId="30FDF885" w:rsidR="00E1450D" w:rsidRPr="00EE63E3" w:rsidRDefault="002706BF" w:rsidP="00EE63E3">
      <w:pPr>
        <w:spacing w:before="240" w:after="0" w:line="240" w:lineRule="auto"/>
        <w:jc w:val="both"/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</w:pPr>
      <w:r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Z tytułu wypowiedzenia Umowy z przyczyn leżących po stronie PCO Emitentowi przysługuje od PCO kara umowna.</w:t>
      </w:r>
      <w:r w:rsidR="00EE63E3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</w:t>
      </w:r>
      <w:r w:rsidR="00E1450D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PCO przysługuje prawo do żądania od Emitenta zapłaty kary umownej</w:t>
      </w:r>
      <w:r w:rsidR="004D6B68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w przypadku nieterminowej realizacji dostaw lub braku realizacji zamówienia. </w:t>
      </w:r>
    </w:p>
    <w:p w14:paraId="1AC1CC5E" w14:textId="0C729AF9" w:rsidR="00147FB9" w:rsidRPr="00EE63E3" w:rsidRDefault="004D6B68" w:rsidP="00EE63E3">
      <w:pPr>
        <w:pStyle w:val="Ustp"/>
        <w:numPr>
          <w:ilvl w:val="0"/>
          <w:numId w:val="0"/>
        </w:numPr>
        <w:spacing w:before="240" w:after="0" w:line="240" w:lineRule="auto"/>
        <w:contextualSpacing w:val="0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lastRenderedPageBreak/>
        <w:t>Umowa może być wypowiedziana m.in. w przypadku</w:t>
      </w:r>
      <w:r w:rsidR="00EE63E3" w:rsidRPr="00EE63E3">
        <w:rPr>
          <w:rFonts w:ascii="Open Sans" w:hAnsi="Open Sans" w:cs="Open Sans"/>
          <w:sz w:val="20"/>
          <w:szCs w:val="20"/>
        </w:rPr>
        <w:t xml:space="preserve"> </w:t>
      </w:r>
      <w:r w:rsidR="00147FB9" w:rsidRPr="00EE63E3">
        <w:rPr>
          <w:rFonts w:ascii="Open Sans" w:hAnsi="Open Sans" w:cs="Open Sans"/>
          <w:sz w:val="20"/>
          <w:szCs w:val="20"/>
        </w:rPr>
        <w:tab/>
        <w:t>niezamówieni</w:t>
      </w:r>
      <w:r w:rsidR="00727967">
        <w:rPr>
          <w:rFonts w:ascii="Open Sans" w:hAnsi="Open Sans" w:cs="Open Sans"/>
          <w:sz w:val="20"/>
          <w:szCs w:val="20"/>
        </w:rPr>
        <w:t>a</w:t>
      </w:r>
      <w:r w:rsidR="00147FB9" w:rsidRPr="00EE63E3">
        <w:rPr>
          <w:rFonts w:ascii="Open Sans" w:hAnsi="Open Sans" w:cs="Open Sans"/>
          <w:sz w:val="20"/>
          <w:szCs w:val="20"/>
        </w:rPr>
        <w:t xml:space="preserve"> przez PCO minimalnej ilości Matryc  określonych w </w:t>
      </w:r>
      <w:r w:rsidR="00AA08A5" w:rsidRPr="00EE63E3">
        <w:rPr>
          <w:rFonts w:ascii="Open Sans" w:hAnsi="Open Sans" w:cs="Open Sans"/>
          <w:sz w:val="20"/>
          <w:szCs w:val="20"/>
        </w:rPr>
        <w:t>Umowie</w:t>
      </w:r>
      <w:r w:rsidR="00147FB9" w:rsidRPr="00EE63E3">
        <w:rPr>
          <w:rFonts w:ascii="Open Sans" w:hAnsi="Open Sans" w:cs="Open Sans"/>
          <w:sz w:val="20"/>
          <w:szCs w:val="20"/>
        </w:rPr>
        <w:t xml:space="preserve"> w danym roku kalendarzowym</w:t>
      </w:r>
      <w:r w:rsidR="00EE63E3" w:rsidRPr="00EE63E3">
        <w:rPr>
          <w:rFonts w:ascii="Open Sans" w:hAnsi="Open Sans" w:cs="Open Sans"/>
          <w:sz w:val="20"/>
          <w:szCs w:val="20"/>
        </w:rPr>
        <w:t>, znaczących opóźnień w realizacji dostaw lub usuwaniu wad dostarczonych produktów przez VIGO, negatywnego wyniku fazy Badań.</w:t>
      </w:r>
    </w:p>
    <w:p w14:paraId="5184B7E9" w14:textId="44AB449C" w:rsidR="007079FA" w:rsidRPr="00EE63E3" w:rsidRDefault="00D23C5B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Emitent w zakresie sprzedaży Matryc ustanawia PCO </w:t>
      </w:r>
      <w:r w:rsidR="00783CC7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d</w:t>
      </w:r>
      <w:r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ystrybutorem Matryc na zasadach określonych w </w:t>
      </w:r>
      <w:r w:rsidR="00783CC7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U</w:t>
      </w:r>
      <w:r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mowie. </w:t>
      </w:r>
      <w:r w:rsidR="007079FA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W okresie obowiązywania Umowy, </w:t>
      </w:r>
      <w:r w:rsidR="00F40BD9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Emitent</w:t>
      </w:r>
      <w:r w:rsidR="007079FA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zobowiązuje się do nieprowadzenia we własnym zakresie sprzedaży Matryc na terytorium</w:t>
      </w:r>
      <w:r w:rsidR="00C05758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</w:t>
      </w:r>
      <w:r w:rsidR="00FA1E94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Rzeczypospolitej Polskiej</w:t>
      </w:r>
      <w:r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</w:t>
      </w:r>
      <w:r w:rsidR="00C05758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>(działalności konkurencyjnej wobec PCO),</w:t>
      </w:r>
      <w:r w:rsidR="007079FA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 poza ich sprzedażą do PCO, z zastrzeżeniem</w:t>
      </w:r>
      <w:r w:rsidR="009C0765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, że </w:t>
      </w:r>
      <w:r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gdyby do tego doszło, </w:t>
      </w:r>
      <w:r w:rsidR="009C0765" w:rsidRPr="00EE63E3">
        <w:rPr>
          <w:rFonts w:ascii="Open Sans" w:hAnsi="Open Sans" w:cs="Open Sans"/>
          <w:color w:val="222222"/>
          <w:sz w:val="20"/>
          <w:szCs w:val="20"/>
          <w:shd w:val="clear" w:color="auto" w:fill="FFFFFF"/>
        </w:rPr>
        <w:t xml:space="preserve">Emitent będzie zobowiązany </w:t>
      </w:r>
      <w:r w:rsidR="009C0765" w:rsidRPr="00EE63E3">
        <w:rPr>
          <w:rFonts w:ascii="Open Sans" w:hAnsi="Open Sans" w:cs="Open Sans"/>
          <w:sz w:val="20"/>
          <w:szCs w:val="20"/>
        </w:rPr>
        <w:t>do zapłaty PCO prowizji określonej na poziomie 10 % ceny sprzedaży zapłaconej</w:t>
      </w:r>
      <w:r w:rsidR="00F40BD9" w:rsidRPr="00EE63E3">
        <w:rPr>
          <w:rFonts w:ascii="Open Sans" w:hAnsi="Open Sans" w:cs="Open Sans"/>
          <w:sz w:val="20"/>
          <w:szCs w:val="20"/>
        </w:rPr>
        <w:t xml:space="preserve"> Emitentowi</w:t>
      </w:r>
      <w:r w:rsidR="009C0765" w:rsidRPr="00EE63E3">
        <w:rPr>
          <w:rFonts w:ascii="Open Sans" w:hAnsi="Open Sans" w:cs="Open Sans"/>
          <w:sz w:val="20"/>
          <w:szCs w:val="20"/>
        </w:rPr>
        <w:t xml:space="preserve"> bezpośrednio przez klienta</w:t>
      </w:r>
      <w:r w:rsidR="00783CC7" w:rsidRPr="00EE63E3">
        <w:rPr>
          <w:rFonts w:ascii="Open Sans" w:hAnsi="Open Sans" w:cs="Open Sans"/>
          <w:sz w:val="20"/>
          <w:szCs w:val="20"/>
        </w:rPr>
        <w:t>.</w:t>
      </w:r>
    </w:p>
    <w:p w14:paraId="768F3F9E" w14:textId="5B3D5401" w:rsidR="00AA3616" w:rsidRPr="00EE63E3" w:rsidRDefault="00FE17AB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t>Pozostałe ustalenia nie odbiegają od powszechnie obowiązujących warunków rynkowych.</w:t>
      </w:r>
    </w:p>
    <w:p w14:paraId="5223BFC4" w14:textId="2AAAD3E2" w:rsidR="00304946" w:rsidRPr="00EE63E3" w:rsidRDefault="00304946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  <w:r w:rsidRPr="00EE63E3">
        <w:rPr>
          <w:rFonts w:ascii="Open Sans" w:hAnsi="Open Sans" w:cs="Open Sans"/>
          <w:sz w:val="20"/>
          <w:szCs w:val="20"/>
        </w:rPr>
        <w:t>Podstawa prawna: art. 17 ust. 1 Rozporządzenia Parlamentu Europejskiego i Rady (UE) nr 596/2014 z dnia 16 kwietnia 2014 roku w sprawie nadużyć na rynku (rozporządzenie w sprawie nadużyć na rynku) oraz uchylające Dyrektywę 2003/6/WE Parlamentu Europejskiego i Rady i Dyrektywy Komisji 2003/124/WE, 2003/125/WE i 2004/72/WE („Rozporządzenie MAR”).</w:t>
      </w:r>
    </w:p>
    <w:p w14:paraId="7F40865B" w14:textId="77777777" w:rsidR="00682FE8" w:rsidRPr="00EE63E3" w:rsidRDefault="00682FE8" w:rsidP="00EE63E3">
      <w:pPr>
        <w:spacing w:before="240"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sectPr w:rsidR="00682FE8" w:rsidRPr="00EE6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AFFEF" w14:textId="77777777" w:rsidR="009C207D" w:rsidRDefault="009C207D" w:rsidP="009C0765">
      <w:pPr>
        <w:spacing w:after="0" w:line="240" w:lineRule="auto"/>
      </w:pPr>
      <w:r>
        <w:separator/>
      </w:r>
    </w:p>
  </w:endnote>
  <w:endnote w:type="continuationSeparator" w:id="0">
    <w:p w14:paraId="416A3D13" w14:textId="77777777" w:rsidR="009C207D" w:rsidRDefault="009C207D" w:rsidP="009C0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8A9F1" w14:textId="77777777" w:rsidR="009C207D" w:rsidRDefault="009C207D" w:rsidP="009C0765">
      <w:pPr>
        <w:spacing w:after="0" w:line="240" w:lineRule="auto"/>
      </w:pPr>
      <w:r>
        <w:separator/>
      </w:r>
    </w:p>
  </w:footnote>
  <w:footnote w:type="continuationSeparator" w:id="0">
    <w:p w14:paraId="53A6D462" w14:textId="77777777" w:rsidR="009C207D" w:rsidRDefault="009C207D" w:rsidP="009C0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26BE"/>
    <w:multiLevelType w:val="hybridMultilevel"/>
    <w:tmpl w:val="AF920E4E"/>
    <w:lvl w:ilvl="0" w:tplc="285A58A4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17B1D"/>
    <w:multiLevelType w:val="hybridMultilevel"/>
    <w:tmpl w:val="90160DA6"/>
    <w:lvl w:ilvl="0" w:tplc="3B30234A">
      <w:start w:val="1"/>
      <w:numFmt w:val="decimal"/>
      <w:pStyle w:val="Ustp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600888">
    <w:abstractNumId w:val="1"/>
  </w:num>
  <w:num w:numId="2" w16cid:durableId="597055562">
    <w:abstractNumId w:val="1"/>
    <w:lvlOverride w:ilvl="0">
      <w:startOverride w:val="1"/>
    </w:lvlOverride>
  </w:num>
  <w:num w:numId="3" w16cid:durableId="4140730">
    <w:abstractNumId w:val="0"/>
  </w:num>
  <w:num w:numId="4" w16cid:durableId="1908491976">
    <w:abstractNumId w:val="0"/>
    <w:lvlOverride w:ilvl="0">
      <w:startOverride w:val="1"/>
    </w:lvlOverride>
  </w:num>
  <w:num w:numId="5" w16cid:durableId="17947908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27"/>
    <w:rsid w:val="000742B6"/>
    <w:rsid w:val="00077D0B"/>
    <w:rsid w:val="000A3A63"/>
    <w:rsid w:val="000B3C04"/>
    <w:rsid w:val="000D3E92"/>
    <w:rsid w:val="00105AE2"/>
    <w:rsid w:val="001257EF"/>
    <w:rsid w:val="00147FB9"/>
    <w:rsid w:val="00202243"/>
    <w:rsid w:val="002117B2"/>
    <w:rsid w:val="00214A48"/>
    <w:rsid w:val="002664FA"/>
    <w:rsid w:val="002706BF"/>
    <w:rsid w:val="002B2C23"/>
    <w:rsid w:val="002C2637"/>
    <w:rsid w:val="00304946"/>
    <w:rsid w:val="00316C2A"/>
    <w:rsid w:val="00350A7C"/>
    <w:rsid w:val="00361107"/>
    <w:rsid w:val="003D38FB"/>
    <w:rsid w:val="003F0C04"/>
    <w:rsid w:val="00426DC2"/>
    <w:rsid w:val="004434B5"/>
    <w:rsid w:val="004B2F2E"/>
    <w:rsid w:val="004D4E8A"/>
    <w:rsid w:val="004D6B68"/>
    <w:rsid w:val="00544C1B"/>
    <w:rsid w:val="00553188"/>
    <w:rsid w:val="00576D2E"/>
    <w:rsid w:val="005815AB"/>
    <w:rsid w:val="00583644"/>
    <w:rsid w:val="005D49B2"/>
    <w:rsid w:val="005D63E9"/>
    <w:rsid w:val="005F25BD"/>
    <w:rsid w:val="005F2EFB"/>
    <w:rsid w:val="0065600E"/>
    <w:rsid w:val="00682FE8"/>
    <w:rsid w:val="006C6444"/>
    <w:rsid w:val="006E6D27"/>
    <w:rsid w:val="007079FA"/>
    <w:rsid w:val="00725540"/>
    <w:rsid w:val="00727967"/>
    <w:rsid w:val="00727BE1"/>
    <w:rsid w:val="00732BCB"/>
    <w:rsid w:val="00735F61"/>
    <w:rsid w:val="00755F4C"/>
    <w:rsid w:val="00783CC7"/>
    <w:rsid w:val="007B035A"/>
    <w:rsid w:val="007B07DA"/>
    <w:rsid w:val="007D5623"/>
    <w:rsid w:val="007F2546"/>
    <w:rsid w:val="00807840"/>
    <w:rsid w:val="00855573"/>
    <w:rsid w:val="0086540B"/>
    <w:rsid w:val="00892DF7"/>
    <w:rsid w:val="008A261E"/>
    <w:rsid w:val="00904565"/>
    <w:rsid w:val="00911CDD"/>
    <w:rsid w:val="00917DB3"/>
    <w:rsid w:val="00940189"/>
    <w:rsid w:val="009659EA"/>
    <w:rsid w:val="00981DCB"/>
    <w:rsid w:val="00995787"/>
    <w:rsid w:val="009C0765"/>
    <w:rsid w:val="009C134E"/>
    <w:rsid w:val="009C207D"/>
    <w:rsid w:val="009D64A6"/>
    <w:rsid w:val="009E01FE"/>
    <w:rsid w:val="00A50509"/>
    <w:rsid w:val="00A50D87"/>
    <w:rsid w:val="00A51C6A"/>
    <w:rsid w:val="00A709B8"/>
    <w:rsid w:val="00A73395"/>
    <w:rsid w:val="00A77FBA"/>
    <w:rsid w:val="00A82D8E"/>
    <w:rsid w:val="00A94903"/>
    <w:rsid w:val="00AA08A5"/>
    <w:rsid w:val="00AA3616"/>
    <w:rsid w:val="00AF2C68"/>
    <w:rsid w:val="00AF591F"/>
    <w:rsid w:val="00B070EC"/>
    <w:rsid w:val="00B15617"/>
    <w:rsid w:val="00B3167A"/>
    <w:rsid w:val="00B43EFD"/>
    <w:rsid w:val="00B614BF"/>
    <w:rsid w:val="00BE0878"/>
    <w:rsid w:val="00C05758"/>
    <w:rsid w:val="00C62194"/>
    <w:rsid w:val="00C9037D"/>
    <w:rsid w:val="00C970AA"/>
    <w:rsid w:val="00CA03E0"/>
    <w:rsid w:val="00D2172A"/>
    <w:rsid w:val="00D23C5B"/>
    <w:rsid w:val="00D327B0"/>
    <w:rsid w:val="00D40224"/>
    <w:rsid w:val="00D526A9"/>
    <w:rsid w:val="00D55345"/>
    <w:rsid w:val="00D76839"/>
    <w:rsid w:val="00DB6758"/>
    <w:rsid w:val="00DC0321"/>
    <w:rsid w:val="00E1450D"/>
    <w:rsid w:val="00E579AC"/>
    <w:rsid w:val="00EA0313"/>
    <w:rsid w:val="00EB0EA3"/>
    <w:rsid w:val="00ED1627"/>
    <w:rsid w:val="00EE63E3"/>
    <w:rsid w:val="00EF6FF6"/>
    <w:rsid w:val="00F40BD9"/>
    <w:rsid w:val="00F47C00"/>
    <w:rsid w:val="00F51EB3"/>
    <w:rsid w:val="00F65BED"/>
    <w:rsid w:val="00F832A1"/>
    <w:rsid w:val="00FA1E94"/>
    <w:rsid w:val="00FA63E0"/>
    <w:rsid w:val="00FC7566"/>
    <w:rsid w:val="00FE17AB"/>
    <w:rsid w:val="00FF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E3644"/>
  <w15:chartTrackingRefBased/>
  <w15:docId w15:val="{D18D1B9A-335C-4DFC-8C77-45E9F7711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07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07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076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60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60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60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60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60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00E"/>
    <w:rPr>
      <w:rFonts w:ascii="Segoe UI" w:hAnsi="Segoe UI" w:cs="Segoe UI"/>
      <w:sz w:val="18"/>
      <w:szCs w:val="18"/>
    </w:rPr>
  </w:style>
  <w:style w:type="paragraph" w:customStyle="1" w:styleId="Ustp">
    <w:name w:val="Ustęp"/>
    <w:basedOn w:val="Normalny"/>
    <w:link w:val="UstpZnak"/>
    <w:qFormat/>
    <w:rsid w:val="00E1450D"/>
    <w:pPr>
      <w:numPr>
        <w:numId w:val="1"/>
      </w:numPr>
      <w:spacing w:before="120" w:after="120" w:line="276" w:lineRule="auto"/>
      <w:contextualSpacing/>
      <w:jc w:val="both"/>
    </w:pPr>
    <w:rPr>
      <w:rFonts w:ascii="Cambria" w:eastAsiaTheme="minorEastAsia" w:hAnsi="Cambria"/>
      <w:color w:val="000000" w:themeColor="text1"/>
      <w:kern w:val="0"/>
      <w:sz w:val="24"/>
      <w:szCs w:val="24"/>
      <w14:ligatures w14:val="none"/>
    </w:rPr>
  </w:style>
  <w:style w:type="character" w:customStyle="1" w:styleId="UstpZnak">
    <w:name w:val="Ustęp Znak"/>
    <w:basedOn w:val="Domylnaczcionkaakapitu"/>
    <w:link w:val="Ustp"/>
    <w:rsid w:val="00E1450D"/>
    <w:rPr>
      <w:rFonts w:ascii="Cambria" w:eastAsiaTheme="minorEastAsia" w:hAnsi="Cambria"/>
      <w:color w:val="000000" w:themeColor="text1"/>
      <w:kern w:val="0"/>
      <w:sz w:val="24"/>
      <w:szCs w:val="24"/>
      <w14:ligatures w14:val="none"/>
    </w:rPr>
  </w:style>
  <w:style w:type="paragraph" w:customStyle="1" w:styleId="Punkt">
    <w:name w:val="Punkt"/>
    <w:basedOn w:val="Ustp"/>
    <w:link w:val="PunktZnak"/>
    <w:qFormat/>
    <w:rsid w:val="00AA08A5"/>
    <w:pPr>
      <w:keepLines/>
      <w:numPr>
        <w:numId w:val="3"/>
      </w:numPr>
    </w:pPr>
    <w:rPr>
      <w:color w:val="262626" w:themeColor="text1" w:themeTint="D9"/>
    </w:rPr>
  </w:style>
  <w:style w:type="character" w:customStyle="1" w:styleId="PunktZnak">
    <w:name w:val="Punkt Znak"/>
    <w:basedOn w:val="UstpZnak"/>
    <w:link w:val="Punkt"/>
    <w:rsid w:val="00AA08A5"/>
    <w:rPr>
      <w:rFonts w:ascii="Cambria" w:eastAsiaTheme="minorEastAsia" w:hAnsi="Cambria"/>
      <w:color w:val="262626" w:themeColor="text1" w:themeTint="D9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F47C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1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Januszczyk</dc:creator>
  <cp:keywords/>
  <dc:description/>
  <cp:lastModifiedBy>Katarzyna Białas</cp:lastModifiedBy>
  <cp:revision>7</cp:revision>
  <dcterms:created xsi:type="dcterms:W3CDTF">2025-03-25T10:16:00Z</dcterms:created>
  <dcterms:modified xsi:type="dcterms:W3CDTF">2025-04-07T11:07:00Z</dcterms:modified>
</cp:coreProperties>
</file>