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00" w:line="360" w:lineRule="auto"/>
        <w:jc w:val="center"/>
        <w:rPr>
          <w:b w:val="1"/>
        </w:rPr>
      </w:pPr>
      <w:r w:rsidDel="00000000" w:rsidR="00000000" w:rsidRPr="00000000">
        <w:rPr>
          <w:b w:val="1"/>
          <w:rtl w:val="0"/>
        </w:rPr>
        <w:t xml:space="preserve">OPIS PRZEDMIOTU ZAMÓWIENIA </w:t>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Przedmiot zamówienia</w:t>
      </w:r>
    </w:p>
    <w:p w:rsidR="00000000" w:rsidDel="00000000" w:rsidP="00000000" w:rsidRDefault="00000000" w:rsidRPr="00000000" w14:paraId="00000003">
      <w:pPr>
        <w:spacing w:after="0" w:line="240" w:lineRule="auto"/>
        <w:jc w:val="both"/>
        <w:rPr/>
      </w:pPr>
      <w:r w:rsidDel="00000000" w:rsidR="00000000" w:rsidRPr="00000000">
        <w:rPr>
          <w:rtl w:val="0"/>
        </w:rPr>
        <w:t xml:space="preserve">Przedmiotem zamówienia jest dostawa gazu technicznego - wodoru.</w:t>
      </w:r>
    </w:p>
    <w:p w:rsidR="00000000" w:rsidDel="00000000" w:rsidP="00000000" w:rsidRDefault="00000000" w:rsidRPr="00000000" w14:paraId="00000004">
      <w:pPr>
        <w:spacing w:after="0" w:line="240" w:lineRule="auto"/>
        <w:jc w:val="both"/>
        <w:rPr/>
      </w:pPr>
      <w:r w:rsidDel="00000000" w:rsidR="00000000" w:rsidRPr="00000000">
        <w:rPr>
          <w:rtl w:val="0"/>
        </w:rPr>
        <w:t xml:space="preserve">26 wiązek - wodoru 5N</w:t>
      </w:r>
    </w:p>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Zakres przedmiotu zamówienia</w:t>
      </w:r>
    </w:p>
    <w:p w:rsidR="00000000" w:rsidDel="00000000" w:rsidP="00000000" w:rsidRDefault="00000000" w:rsidRPr="00000000" w14:paraId="00000007">
      <w:pPr>
        <w:spacing w:after="0" w:line="240" w:lineRule="auto"/>
        <w:jc w:val="both"/>
        <w:rPr/>
      </w:pPr>
      <w:bookmarkStart w:colFirst="0" w:colLast="0" w:name="_gjdgxs" w:id="0"/>
      <w:bookmarkEnd w:id="0"/>
      <w:r w:rsidDel="00000000" w:rsidR="00000000" w:rsidRPr="00000000">
        <w:rPr>
          <w:rtl w:val="0"/>
        </w:rPr>
        <w:t xml:space="preserve">Szczegółowy opis przedmiotu zamówienia znajduje się w punkcie 5 niniejszego dokumentu. Całkowita cena za produkty określone w punkcie 1 powinna zawierać całkowity koszt wraz z opakowaniem oraz  dostarczeniem  do siedziby Zamawiającego.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Kryteria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rPr>
          <w:b w:val="1"/>
          <w:color w:val="000000"/>
          <w:u w:val="single"/>
        </w:rPr>
      </w:pPr>
      <w:r w:rsidDel="00000000" w:rsidR="00000000" w:rsidRPr="00000000">
        <w:rPr>
          <w:rtl w:val="0"/>
        </w:rPr>
        <w:t xml:space="preserve">Oferty oceniane będą wg skali punktowej z maksymalną liczbą punktów wynoszącą 100.</w:t>
      </w:r>
      <w:r w:rsidDel="00000000" w:rsidR="00000000" w:rsidRPr="00000000">
        <w:rPr>
          <w:rtl w:val="0"/>
        </w:rPr>
      </w:r>
    </w:p>
    <w:tbl>
      <w:tblPr>
        <w:tblStyle w:val="Table1"/>
        <w:tblW w:w="9353.0" w:type="dxa"/>
        <w:jc w:val="left"/>
        <w:tblInd w:w="0.0" w:type="dxa"/>
        <w:tblLayout w:type="fixed"/>
        <w:tblLook w:val="0000"/>
      </w:tblPr>
      <w:tblGrid>
        <w:gridCol w:w="2974"/>
        <w:gridCol w:w="3119"/>
        <w:gridCol w:w="3260"/>
        <w:tblGridChange w:id="0">
          <w:tblGrid>
            <w:gridCol w:w="2974"/>
            <w:gridCol w:w="3119"/>
            <w:gridCol w:w="3260"/>
          </w:tblGrid>
        </w:tblGridChange>
      </w:tblGrid>
      <w:tr>
        <w:tc>
          <w:tcPr>
            <w:tcBorders>
              <w:top w:color="000000" w:space="0" w:sz="4" w:val="single"/>
              <w:left w:color="000000" w:space="0" w:sz="4" w:val="single"/>
              <w:bottom w:color="000000" w:space="0" w:sz="4" w:val="single"/>
            </w:tcBorders>
            <w:shd w:fill="dddddd" w:val="clear"/>
            <w:tcMar>
              <w:top w:w="55.0" w:type="dxa"/>
              <w:left w:w="55.0" w:type="dxa"/>
              <w:bottom w:w="55.0" w:type="dxa"/>
              <w:right w:w="55.0" w:type="dxa"/>
            </w:tcMar>
            <w:vAlign w:val="center"/>
          </w:tcPr>
          <w:p w:rsidR="00000000" w:rsidDel="00000000" w:rsidP="00000000" w:rsidRDefault="00000000" w:rsidRPr="00000000" w14:paraId="0000000A">
            <w:pPr>
              <w:widowControl w:val="0"/>
              <w:spacing w:after="0" w:line="240" w:lineRule="auto"/>
              <w:jc w:val="center"/>
              <w:rPr>
                <w:rFonts w:ascii="Calibri" w:cs="Calibri" w:eastAsia="Calibri" w:hAnsi="Calibri"/>
              </w:rPr>
            </w:pPr>
            <w:r w:rsidDel="00000000" w:rsidR="00000000" w:rsidRPr="00000000">
              <w:rPr>
                <w:rtl w:val="0"/>
              </w:rPr>
              <w:t xml:space="preserve">Kryterium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ddddd" w:val="clear"/>
            <w:tcMar>
              <w:top w:w="55.0" w:type="dxa"/>
              <w:left w:w="55.0" w:type="dxa"/>
              <w:bottom w:w="55.0" w:type="dxa"/>
              <w:right w:w="55.0" w:type="dxa"/>
            </w:tcMar>
          </w:tcPr>
          <w:p w:rsidR="00000000" w:rsidDel="00000000" w:rsidP="00000000" w:rsidRDefault="00000000" w:rsidRPr="00000000" w14:paraId="0000000B">
            <w:pPr>
              <w:widowControl w:val="0"/>
              <w:spacing w:after="0" w:line="240" w:lineRule="auto"/>
              <w:jc w:val="center"/>
              <w:rPr>
                <w:rFonts w:ascii="Calibri" w:cs="Calibri" w:eastAsia="Calibri" w:hAnsi="Calibri"/>
              </w:rPr>
            </w:pPr>
            <w:r w:rsidDel="00000000" w:rsidR="00000000" w:rsidRPr="00000000">
              <w:rPr>
                <w:rtl w:val="0"/>
              </w:rPr>
              <w:t xml:space="preserve">Maksymalna ilość punktów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C">
            <w:pPr>
              <w:widowControl w:val="0"/>
              <w:spacing w:after="0" w:line="240" w:lineRule="auto"/>
              <w:jc w:val="center"/>
              <w:rPr>
                <w:rFonts w:ascii="Calibri" w:cs="Calibri" w:eastAsia="Calibri" w:hAnsi="Calibri"/>
              </w:rPr>
            </w:pPr>
            <w:r w:rsidDel="00000000" w:rsidR="00000000" w:rsidRPr="00000000">
              <w:rPr>
                <w:rtl w:val="0"/>
              </w:rPr>
              <w:t xml:space="preserve">Metoda przyznawania punktów</w:t>
            </w:r>
            <w:r w:rsidDel="00000000" w:rsidR="00000000" w:rsidRPr="00000000">
              <w:rPr>
                <w:rtl w:val="0"/>
              </w:rPr>
            </w:r>
          </w:p>
        </w:tc>
      </w:tr>
      <w:tr>
        <w:tc>
          <w:tcPr>
            <w:tcBorders>
              <w:left w:color="000000" w:space="0" w:sz="4" w:val="single"/>
              <w:bottom w:color="000000" w:space="0" w:sz="4" w:val="single"/>
            </w:tcBorders>
            <w:tcMar>
              <w:top w:w="55.0" w:type="dxa"/>
              <w:left w:w="55.0" w:type="dxa"/>
              <w:bottom w:w="55.0" w:type="dxa"/>
              <w:right w:w="55.0" w:type="dxa"/>
            </w:tcMar>
            <w:vAlign w:val="center"/>
          </w:tcPr>
          <w:p w:rsidR="00000000" w:rsidDel="00000000" w:rsidP="00000000" w:rsidRDefault="00000000" w:rsidRPr="00000000" w14:paraId="0000000D">
            <w:pPr>
              <w:widowControl w:val="0"/>
              <w:spacing w:after="0" w:line="240" w:lineRule="auto"/>
              <w:rPr/>
            </w:pPr>
            <w:r w:rsidDel="00000000" w:rsidR="00000000" w:rsidRPr="00000000">
              <w:rPr>
                <w:rtl w:val="0"/>
              </w:rPr>
              <w:t xml:space="preserve">Cena netto (P)</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00E">
            <w:pPr>
              <w:widowControl w:val="0"/>
              <w:spacing w:after="0" w:line="240" w:lineRule="auto"/>
              <w:jc w:val="center"/>
              <w:rPr>
                <w:rFonts w:ascii="Calibri" w:cs="Calibri" w:eastAsia="Calibri" w:hAnsi="Calibri"/>
              </w:rPr>
            </w:pPr>
            <w:r w:rsidDel="00000000" w:rsidR="00000000" w:rsidRPr="00000000">
              <w:rPr>
                <w:rtl w:val="0"/>
              </w:rPr>
              <w:t xml:space="preserve">100</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widowControl w:val="0"/>
              <w:spacing w:after="0" w:line="240" w:lineRule="auto"/>
              <w:jc w:val="center"/>
              <w:rPr>
                <w:rFonts w:ascii="Calibri" w:cs="Calibri" w:eastAsia="Calibri" w:hAnsi="Calibri"/>
              </w:rPr>
            </w:pPr>
            <w:r w:rsidDel="00000000" w:rsidR="00000000" w:rsidRPr="00000000">
              <w:rPr>
                <w:rtl w:val="0"/>
              </w:rPr>
              <w:t xml:space="preserve">S x Pmin/Pi</w:t>
            </w: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rPr>
          <w:b w:val="1"/>
          <w:color w:val="000000"/>
          <w:u w:val="singl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color w:val="000000"/>
          <w:rtl w:val="0"/>
        </w:rPr>
        <w:t xml:space="preserve">Gdzie:</w:t>
      </w:r>
    </w:p>
    <w:p w:rsidR="00000000" w:rsidDel="00000000" w:rsidP="00000000" w:rsidRDefault="00000000" w:rsidRPr="00000000" w14:paraId="00000012">
      <w:pPr>
        <w:numPr>
          <w:ilvl w:val="0"/>
          <w:numId w:val="3"/>
        </w:numPr>
        <w:spacing w:after="0" w:line="240" w:lineRule="auto"/>
        <w:ind w:left="720" w:hanging="360"/>
        <w:jc w:val="both"/>
        <w:rPr/>
      </w:pPr>
      <w:r w:rsidDel="00000000" w:rsidR="00000000" w:rsidRPr="00000000">
        <w:rPr>
          <w:rtl w:val="0"/>
        </w:rPr>
        <w:t xml:space="preserve">Pi – cena towarów wraz z dostawą - dla danej przedłożonej oferty</w:t>
      </w:r>
    </w:p>
    <w:p w:rsidR="00000000" w:rsidDel="00000000" w:rsidP="00000000" w:rsidRDefault="00000000" w:rsidRPr="00000000" w14:paraId="00000013">
      <w:pPr>
        <w:numPr>
          <w:ilvl w:val="0"/>
          <w:numId w:val="3"/>
        </w:numPr>
        <w:spacing w:after="0" w:line="240" w:lineRule="auto"/>
        <w:ind w:left="720" w:hanging="360"/>
        <w:jc w:val="both"/>
        <w:rPr>
          <w:u w:val="single"/>
        </w:rPr>
      </w:pPr>
      <w:r w:rsidDel="00000000" w:rsidR="00000000" w:rsidRPr="00000000">
        <w:rPr>
          <w:rtl w:val="0"/>
        </w:rPr>
        <w:t xml:space="preserve">Pmin - minimalna cena dostawy zamawianych towarów spośród wszystkich przedłożonych ofert</w:t>
      </w:r>
      <w:r w:rsidDel="00000000" w:rsidR="00000000" w:rsidRPr="00000000">
        <w:rPr>
          <w:rtl w:val="0"/>
        </w:rPr>
      </w:r>
    </w:p>
    <w:p w:rsidR="00000000" w:rsidDel="00000000" w:rsidP="00000000" w:rsidRDefault="00000000" w:rsidRPr="00000000" w14:paraId="00000014">
      <w:pPr>
        <w:numPr>
          <w:ilvl w:val="0"/>
          <w:numId w:val="3"/>
        </w:numPr>
        <w:spacing w:after="0" w:line="240" w:lineRule="auto"/>
        <w:ind w:left="720" w:hanging="360"/>
        <w:jc w:val="both"/>
        <w:rPr>
          <w:u w:val="single"/>
        </w:rPr>
      </w:pPr>
      <w:r w:rsidDel="00000000" w:rsidR="00000000" w:rsidRPr="00000000">
        <w:rPr>
          <w:rtl w:val="0"/>
        </w:rPr>
        <w:t xml:space="preserve">S – liczba punktów</w:t>
      </w:r>
      <w:r w:rsidDel="00000000" w:rsidR="00000000" w:rsidRPr="00000000">
        <w:rPr>
          <w:rtl w:val="0"/>
        </w:rPr>
      </w:r>
    </w:p>
    <w:p w:rsidR="00000000" w:rsidDel="00000000" w:rsidP="00000000" w:rsidRDefault="00000000" w:rsidRPr="00000000" w14:paraId="00000015">
      <w:pPr>
        <w:spacing w:after="0" w:line="240" w:lineRule="auto"/>
        <w:jc w:val="both"/>
        <w:rPr/>
      </w:pPr>
      <w:bookmarkStart w:colFirst="0" w:colLast="0" w:name="_30j0zll" w:id="1"/>
      <w:bookmarkEnd w:id="1"/>
      <w:r w:rsidDel="00000000" w:rsidR="00000000" w:rsidRPr="00000000">
        <w:rPr>
          <w:rtl w:val="0"/>
        </w:rPr>
        <w:t xml:space="preserve">Końcowa punktacja zostanie wyliczona poprzez zsumowanie składowych cząstkowych, a następnie zaokrąglona do dwóch miejsc po przecinku. (zaokrąglając od „5” w górę)</w:t>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Termin wykonania zamówienia</w:t>
      </w:r>
    </w:p>
    <w:p w:rsidR="00000000" w:rsidDel="00000000" w:rsidP="00000000" w:rsidRDefault="00000000" w:rsidRPr="00000000" w14:paraId="00000018">
      <w:pPr>
        <w:spacing w:after="0" w:line="360" w:lineRule="auto"/>
        <w:ind w:hanging="2"/>
        <w:jc w:val="both"/>
        <w:rPr>
          <w:b w:val="1"/>
        </w:rPr>
      </w:pPr>
      <w:r w:rsidDel="00000000" w:rsidR="00000000" w:rsidRPr="00000000">
        <w:rPr>
          <w:b w:val="1"/>
          <w:sz w:val="20"/>
          <w:szCs w:val="20"/>
          <w:rtl w:val="0"/>
        </w:rPr>
        <w:t xml:space="preserve">Do 30.09.2021 r. od dnia złożenia zamówienia (zawarcia umowy). Zamawiający wymaga zastosowania zasady dostawy DAP  Incoterms 2020. DAP (Delivered at Place) tj. za moment dostarczenia towaru uznaje się pozostawienie go do dyspozycji kupującego na terenie wskazanym przez kupującego.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Parametry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left="360" w:firstLine="0"/>
        <w:rPr>
          <w:b w:val="1"/>
          <w:u w:val="single"/>
        </w:rPr>
      </w:pPr>
      <w:r w:rsidDel="00000000" w:rsidR="00000000" w:rsidRPr="00000000">
        <w:rPr>
          <w:b w:val="1"/>
          <w:u w:val="single"/>
          <w:rtl w:val="0"/>
        </w:rPr>
        <w:t xml:space="preserve">5.1 Szczegółowy zakres przedmiotu </w:t>
      </w:r>
    </w:p>
    <w:tbl>
      <w:tblPr>
        <w:tblStyle w:val="Table2"/>
        <w:tblW w:w="10410.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725"/>
        <w:gridCol w:w="2490"/>
        <w:gridCol w:w="4590"/>
        <w:tblGridChange w:id="0">
          <w:tblGrid>
            <w:gridCol w:w="1605"/>
            <w:gridCol w:w="1725"/>
            <w:gridCol w:w="2490"/>
            <w:gridCol w:w="4590"/>
          </w:tblGrid>
        </w:tblGridChange>
      </w:tblGrid>
      <w:tr>
        <w:trPr>
          <w:trHeight w:val="240" w:hRule="atLeast"/>
        </w:trPr>
        <w:tc>
          <w:tcPr>
            <w:shd w:fill="dddddd"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color w:val="000000"/>
                <w:sz w:val="16"/>
                <w:szCs w:val="16"/>
                <w:rtl w:val="0"/>
              </w:rPr>
              <w:t xml:space="preserve">Nazwa towaru</w:t>
            </w:r>
          </w:p>
        </w:tc>
        <w:tc>
          <w:tcPr>
            <w:shd w:fill="dddddd" w:val="clear"/>
            <w:tcMar>
              <w:top w:w="55.0" w:type="dxa"/>
              <w:left w:w="55.0" w:type="dxa"/>
              <w:bottom w:w="55.0" w:type="dxa"/>
              <w:right w:w="55.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tl w:val="0"/>
              </w:rPr>
            </w:r>
          </w:p>
        </w:tc>
        <w:tc>
          <w:tcPr>
            <w:shd w:fill="dddddd" w:val="clear"/>
            <w:tcMar>
              <w:top w:w="55.0" w:type="dxa"/>
              <w:left w:w="55.0" w:type="dxa"/>
              <w:bottom w:w="55.0" w:type="dxa"/>
              <w:right w:w="55.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color w:val="000000"/>
                <w:sz w:val="16"/>
                <w:szCs w:val="16"/>
                <w:rtl w:val="0"/>
              </w:rPr>
              <w:t xml:space="preserve">Parametr </w:t>
            </w:r>
          </w:p>
        </w:tc>
        <w:tc>
          <w:tcPr>
            <w:shd w:fill="dddddd"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color w:val="000000"/>
                <w:sz w:val="16"/>
                <w:szCs w:val="16"/>
                <w:rtl w:val="0"/>
              </w:rPr>
              <w:t xml:space="preserve">Specyfikacja</w:t>
            </w:r>
          </w:p>
        </w:tc>
      </w:tr>
      <w:tr>
        <w:trPr>
          <w:trHeight w:val="330" w:hRule="atLeast"/>
        </w:trPr>
        <w:tc>
          <w:tcPr>
            <w:vMerge w:val="restart"/>
            <w:vAlign w:val="center"/>
          </w:tcPr>
          <w:p w:rsidR="00000000" w:rsidDel="00000000" w:rsidP="00000000" w:rsidRDefault="00000000" w:rsidRPr="00000000" w14:paraId="00000020">
            <w:pPr>
              <w:spacing w:after="0" w:line="240" w:lineRule="auto"/>
              <w:rPr>
                <w:b w:val="1"/>
              </w:rPr>
            </w:pPr>
            <w:r w:rsidDel="00000000" w:rsidR="00000000" w:rsidRPr="00000000">
              <w:rPr>
                <w:b w:val="1"/>
                <w:rtl w:val="0"/>
              </w:rPr>
              <w:t xml:space="preserve">Wodór 5N</w:t>
            </w:r>
          </w:p>
        </w:tc>
        <w:tc>
          <w:tcPr>
            <w:vMerge w:val="restart"/>
            <w:tcMar>
              <w:top w:w="55.0" w:type="dxa"/>
              <w:left w:w="55.0" w:type="dxa"/>
              <w:bottom w:w="55.0" w:type="dxa"/>
              <w:right w:w="55.0" w:type="dxa"/>
            </w:tcMar>
          </w:tcPr>
          <w:p w:rsidR="00000000" w:rsidDel="00000000" w:rsidP="00000000" w:rsidRDefault="00000000" w:rsidRPr="00000000" w14:paraId="00000021">
            <w:pPr>
              <w:spacing w:after="0" w:line="240" w:lineRule="auto"/>
              <w:rPr/>
            </w:pPr>
            <w:r w:rsidDel="00000000" w:rsidR="00000000" w:rsidRPr="00000000">
              <w:rPr>
                <w:rtl w:val="0"/>
              </w:rPr>
              <w:t xml:space="preserve">Jakość</w:t>
            </w:r>
          </w:p>
        </w:tc>
        <w:tc>
          <w:tcPr>
            <w:tcMar>
              <w:top w:w="55.0" w:type="dxa"/>
              <w:left w:w="55.0" w:type="dxa"/>
              <w:bottom w:w="55.0" w:type="dxa"/>
              <w:right w:w="55.0" w:type="dxa"/>
            </w:tcMar>
          </w:tcPr>
          <w:p w:rsidR="00000000" w:rsidDel="00000000" w:rsidP="00000000" w:rsidRDefault="00000000" w:rsidRPr="00000000" w14:paraId="00000022">
            <w:pPr>
              <w:spacing w:after="0" w:line="240" w:lineRule="auto"/>
              <w:rPr>
                <w:rFonts w:ascii="Calibri" w:cs="Calibri" w:eastAsia="Calibri" w:hAnsi="Calibri"/>
                <w:color w:val="000000"/>
              </w:rPr>
            </w:pPr>
            <w:r w:rsidDel="00000000" w:rsidR="00000000" w:rsidRPr="00000000">
              <w:rPr>
                <w:rtl w:val="0"/>
              </w:rPr>
              <w:t xml:space="preserve">Czystość</w:t>
            </w:r>
            <w:r w:rsidDel="00000000" w:rsidR="00000000" w:rsidRPr="00000000">
              <w:rPr>
                <w:rtl w:val="0"/>
              </w:rPr>
            </w:r>
          </w:p>
        </w:tc>
        <w:tc>
          <w:tcPr/>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tl w:val="0"/>
              </w:rPr>
              <w:t xml:space="preserve">≥ 99,999%</w:t>
            </w:r>
            <w:r w:rsidDel="00000000" w:rsidR="00000000" w:rsidRPr="00000000">
              <w:rPr>
                <w:rtl w:val="0"/>
              </w:rPr>
            </w:r>
          </w:p>
        </w:tc>
      </w:tr>
      <w:tr>
        <w:trPr>
          <w:trHeight w:val="645" w:hRule="atLeast"/>
        </w:trPr>
        <w:tc>
          <w:tcPr>
            <w:vMerge w:val="continue"/>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25">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tl w:val="0"/>
              </w:rPr>
              <w:t xml:space="preserve">Składniki uboczne</w:t>
            </w:r>
            <w:r w:rsidDel="00000000" w:rsidR="00000000" w:rsidRPr="00000000">
              <w:rPr>
                <w:rtl w:val="0"/>
              </w:rPr>
            </w:r>
          </w:p>
        </w:tc>
        <w:tc>
          <w:tcPr/>
          <w:p w:rsidR="00000000" w:rsidDel="00000000" w:rsidP="00000000" w:rsidRDefault="00000000" w:rsidRPr="00000000" w14:paraId="00000027">
            <w:pPr>
              <w:spacing w:after="0" w:line="240" w:lineRule="auto"/>
              <w:rPr/>
            </w:pPr>
            <w:r w:rsidDel="00000000" w:rsidR="00000000" w:rsidRPr="00000000">
              <w:rPr>
                <w:rtl w:val="0"/>
              </w:rPr>
              <w:t xml:space="preserve">O2 ≤ 2 ppm obj.</w:t>
            </w:r>
          </w:p>
          <w:p w:rsidR="00000000" w:rsidDel="00000000" w:rsidP="00000000" w:rsidRDefault="00000000" w:rsidRPr="00000000" w14:paraId="00000028">
            <w:pPr>
              <w:spacing w:after="0" w:line="240" w:lineRule="auto"/>
              <w:rPr/>
            </w:pPr>
            <w:r w:rsidDel="00000000" w:rsidR="00000000" w:rsidRPr="00000000">
              <w:rPr>
                <w:rtl w:val="0"/>
              </w:rPr>
              <w:t xml:space="preserve">N2 ≤ 3 ppm obj.</w:t>
              <w:br w:type="textWrapping"/>
              <w:t xml:space="preserve">H2O ≤ 5 ppm obj.</w:t>
            </w:r>
          </w:p>
        </w:tc>
      </w:tr>
      <w:tr>
        <w:trPr>
          <w:trHeight w:val="405" w:hRule="atLeast"/>
        </w:trPr>
        <w:tc>
          <w:tcPr>
            <w:vMerge w:val="continue"/>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Mar>
              <w:top w:w="55.0" w:type="dxa"/>
              <w:left w:w="55.0" w:type="dxa"/>
              <w:bottom w:w="55.0" w:type="dxa"/>
              <w:right w:w="55.0" w:type="dxa"/>
            </w:tcMar>
          </w:tcPr>
          <w:p w:rsidR="00000000" w:rsidDel="00000000" w:rsidP="00000000" w:rsidRDefault="00000000" w:rsidRPr="00000000" w14:paraId="0000002A">
            <w:pPr>
              <w:spacing w:after="0" w:line="240" w:lineRule="auto"/>
              <w:rPr/>
            </w:pPr>
            <w:r w:rsidDel="00000000" w:rsidR="00000000" w:rsidRPr="00000000">
              <w:rPr>
                <w:rtl w:val="0"/>
              </w:rPr>
              <w:t xml:space="preserve">Forma dostawy</w:t>
            </w:r>
          </w:p>
        </w:tc>
        <w:tc>
          <w:tcPr>
            <w:tcMar>
              <w:top w:w="55.0" w:type="dxa"/>
              <w:left w:w="55.0" w:type="dxa"/>
              <w:bottom w:w="55.0" w:type="dxa"/>
              <w:right w:w="55.0" w:type="dxa"/>
            </w:tcMar>
          </w:tcPr>
          <w:p w:rsidR="00000000" w:rsidDel="00000000" w:rsidP="00000000" w:rsidRDefault="00000000" w:rsidRPr="00000000" w14:paraId="0000002B">
            <w:pPr>
              <w:spacing w:after="0" w:line="240" w:lineRule="auto"/>
              <w:rPr/>
            </w:pPr>
            <w:r w:rsidDel="00000000" w:rsidR="00000000" w:rsidRPr="00000000">
              <w:rPr>
                <w:rtl w:val="0"/>
              </w:rPr>
              <w:t xml:space="preserve">Wiązki</w:t>
            </w:r>
          </w:p>
        </w:tc>
        <w:tc>
          <w:tcPr/>
          <w:p w:rsidR="00000000" w:rsidDel="00000000" w:rsidP="00000000" w:rsidRDefault="00000000" w:rsidRPr="00000000" w14:paraId="0000002C">
            <w:pPr>
              <w:spacing w:after="0" w:line="240" w:lineRule="auto"/>
              <w:rPr>
                <w:rFonts w:ascii="Calibri" w:cs="Calibri" w:eastAsia="Calibri" w:hAnsi="Calibri"/>
              </w:rPr>
            </w:pPr>
            <w:r w:rsidDel="00000000" w:rsidR="00000000" w:rsidRPr="00000000">
              <w:rPr>
                <w:rtl w:val="0"/>
              </w:rPr>
              <w:t xml:space="preserve">1 wiązka to 12 butli x 50 l</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2E">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F">
            <w:pPr>
              <w:spacing w:after="0" w:line="240" w:lineRule="auto"/>
              <w:rPr/>
            </w:pPr>
            <w:r w:rsidDel="00000000" w:rsidR="00000000" w:rsidRPr="00000000">
              <w:rPr>
                <w:rtl w:val="0"/>
              </w:rPr>
              <w:t xml:space="preserve">Ciśnienie napełniania</w:t>
            </w:r>
          </w:p>
        </w:tc>
        <w:tc>
          <w:tcPr/>
          <w:p w:rsidR="00000000" w:rsidDel="00000000" w:rsidP="00000000" w:rsidRDefault="00000000" w:rsidRPr="00000000" w14:paraId="00000030">
            <w:pPr>
              <w:spacing w:after="0" w:line="240" w:lineRule="auto"/>
              <w:rPr>
                <w:rFonts w:ascii="Calibri" w:cs="Calibri" w:eastAsia="Calibri" w:hAnsi="Calibri"/>
              </w:rPr>
            </w:pPr>
            <w:r w:rsidDel="00000000" w:rsidR="00000000" w:rsidRPr="00000000">
              <w:rPr>
                <w:rtl w:val="0"/>
              </w:rPr>
              <w:t xml:space="preserve">200 bar ± 10 %</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32">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33">
            <w:pPr>
              <w:spacing w:after="0" w:line="240" w:lineRule="auto"/>
              <w:rPr>
                <w:rFonts w:ascii="Calibri" w:cs="Calibri" w:eastAsia="Calibri" w:hAnsi="Calibri"/>
              </w:rPr>
            </w:pPr>
            <w:r w:rsidDel="00000000" w:rsidR="00000000" w:rsidRPr="00000000">
              <w:rPr>
                <w:rtl w:val="0"/>
              </w:rPr>
              <w:t xml:space="preserve">Ilość gazu w wiązce (15° C, 1 bar) m3 </w:t>
            </w:r>
            <w:r w:rsidDel="00000000" w:rsidR="00000000" w:rsidRPr="00000000">
              <w:rPr>
                <w:rtl w:val="0"/>
              </w:rPr>
            </w:r>
          </w:p>
        </w:tc>
        <w:tc>
          <w:tcPr/>
          <w:p w:rsidR="00000000" w:rsidDel="00000000" w:rsidP="00000000" w:rsidRDefault="00000000" w:rsidRPr="00000000" w14:paraId="00000034">
            <w:pPr>
              <w:spacing w:after="0" w:line="240" w:lineRule="auto"/>
              <w:rPr>
                <w:rFonts w:ascii="Calibri" w:cs="Calibri" w:eastAsia="Calibri" w:hAnsi="Calibri"/>
              </w:rPr>
            </w:pPr>
            <w:bookmarkStart w:colFirst="0" w:colLast="0" w:name="_1fob9te" w:id="2"/>
            <w:bookmarkEnd w:id="2"/>
            <w:r w:rsidDel="00000000" w:rsidR="00000000" w:rsidRPr="00000000">
              <w:rPr>
                <w:rtl w:val="0"/>
              </w:rPr>
              <w:t xml:space="preserve">≥ 106,8 m3</w:t>
            </w:r>
            <w:r w:rsidDel="00000000" w:rsidR="00000000" w:rsidRPr="00000000">
              <w:rPr>
                <w:rtl w:val="0"/>
              </w:rPr>
            </w:r>
          </w:p>
        </w:tc>
      </w:tr>
      <w:tr>
        <w:trPr>
          <w:trHeight w:val="343" w:hRule="atLeast"/>
        </w:trPr>
        <w:tc>
          <w:tcPr>
            <w:vMerge w:val="continue"/>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bottom w:color="000000" w:space="0" w:sz="4" w:val="single"/>
            </w:tcBorders>
            <w:tcMar>
              <w:top w:w="55.0" w:type="dxa"/>
              <w:left w:w="55.0" w:type="dxa"/>
              <w:bottom w:w="55.0" w:type="dxa"/>
              <w:right w:w="55.0" w:type="dxa"/>
            </w:tcMar>
          </w:tcPr>
          <w:p w:rsidR="00000000" w:rsidDel="00000000" w:rsidP="00000000" w:rsidRDefault="00000000" w:rsidRPr="00000000" w14:paraId="00000036">
            <w:pPr>
              <w:spacing w:after="0" w:line="240" w:lineRule="auto"/>
              <w:rPr/>
            </w:pPr>
            <w:r w:rsidDel="00000000" w:rsidR="00000000" w:rsidRPr="00000000">
              <w:rPr>
                <w:rtl w:val="0"/>
              </w:rPr>
              <w:t xml:space="preserve">Oznaczenie butli</w:t>
            </w:r>
          </w:p>
        </w:tc>
        <w:tc>
          <w:tcPr>
            <w:tcBorders>
              <w:bottom w:color="000000" w:space="0" w:sz="4" w:val="single"/>
            </w:tcBorders>
            <w:tcMar>
              <w:top w:w="55.0" w:type="dxa"/>
              <w:left w:w="55.0" w:type="dxa"/>
              <w:bottom w:w="55.0" w:type="dxa"/>
              <w:right w:w="55.0" w:type="dxa"/>
            </w:tcMar>
          </w:tcPr>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tl w:val="0"/>
              </w:rPr>
              <w:t xml:space="preserve">Kolor:</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numPr>
                <w:ilvl w:val="0"/>
                <w:numId w:val="1"/>
              </w:numPr>
              <w:spacing w:after="0" w:line="240" w:lineRule="auto"/>
              <w:ind w:left="720" w:hanging="360"/>
              <w:rPr>
                <w:u w:val="none"/>
              </w:rPr>
            </w:pPr>
            <w:r w:rsidDel="00000000" w:rsidR="00000000" w:rsidRPr="00000000">
              <w:rPr>
                <w:rtl w:val="0"/>
              </w:rPr>
              <w:t xml:space="preserve">szary z czerwonym kielichem wg normy PN-EN 1089-3:1999; RAL 3000</w:t>
            </w:r>
          </w:p>
        </w:tc>
      </w:tr>
      <w:tr>
        <w:trPr>
          <w:trHeight w:val="315" w:hRule="atLeast"/>
        </w:trPr>
        <w:tc>
          <w:tcPr>
            <w:vMerge w:val="continue"/>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3A">
            <w:pPr>
              <w:spacing w:after="0" w:line="240" w:lineRule="auto"/>
              <w:rPr/>
            </w:pPr>
            <w:r w:rsidDel="00000000" w:rsidR="00000000" w:rsidRPr="00000000">
              <w:rPr>
                <w:rtl w:val="0"/>
              </w:rPr>
              <w:t xml:space="preserve">Zawór butli</w:t>
            </w:r>
          </w:p>
        </w:tc>
        <w:tc>
          <w:tcPr>
            <w:tcMar>
              <w:top w:w="55.0" w:type="dxa"/>
              <w:left w:w="55.0" w:type="dxa"/>
              <w:bottom w:w="55.0" w:type="dxa"/>
              <w:right w:w="55.0" w:type="dxa"/>
            </w:tcMar>
          </w:tcPr>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rtl w:val="0"/>
              </w:rPr>
              <w:t xml:space="preserve">Zawór </w:t>
            </w:r>
            <w:r w:rsidDel="00000000" w:rsidR="00000000" w:rsidRPr="00000000">
              <w:rPr>
                <w:rtl w:val="0"/>
              </w:rPr>
            </w:r>
          </w:p>
        </w:tc>
        <w:tc>
          <w:tcPr/>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t xml:space="preserve">W21,8 x 1/14LH wg obowiązującej normy </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Mar>
              <w:top w:w="55.0" w:type="dxa"/>
              <w:left w:w="55.0" w:type="dxa"/>
              <w:bottom w:w="55.0" w:type="dxa"/>
              <w:right w:w="55.0" w:type="dxa"/>
            </w:tcMar>
          </w:tcPr>
          <w:p w:rsidR="00000000" w:rsidDel="00000000" w:rsidP="00000000" w:rsidRDefault="00000000" w:rsidRPr="00000000" w14:paraId="0000003E">
            <w:pPr>
              <w:spacing w:after="0" w:line="240" w:lineRule="auto"/>
              <w:rPr/>
            </w:pPr>
            <w:r w:rsidDel="00000000" w:rsidR="00000000" w:rsidRPr="00000000">
              <w:rPr>
                <w:rtl w:val="0"/>
              </w:rPr>
              <w:t xml:space="preserve">Dane fizyczne</w:t>
            </w:r>
          </w:p>
        </w:tc>
        <w:tc>
          <w:tcPr>
            <w:tcMar>
              <w:top w:w="55.0" w:type="dxa"/>
              <w:left w:w="55.0" w:type="dxa"/>
              <w:bottom w:w="55.0" w:type="dxa"/>
              <w:right w:w="55.0" w:type="dxa"/>
            </w:tcMar>
          </w:tcPr>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tl w:val="0"/>
              </w:rPr>
              <w:t xml:space="preserve">Gęstość (15° C, 1 bar)</w:t>
            </w:r>
            <w:r w:rsidDel="00000000" w:rsidR="00000000" w:rsidRPr="00000000">
              <w:rPr>
                <w:rtl w:val="0"/>
              </w:rPr>
            </w:r>
          </w:p>
        </w:tc>
        <w:tc>
          <w:tcPr/>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tl w:val="0"/>
              </w:rPr>
              <w:t xml:space="preserve">0,084 kg/m3</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42">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3">
            <w:pPr>
              <w:spacing w:after="0" w:line="240" w:lineRule="auto"/>
              <w:rPr>
                <w:rFonts w:ascii="Calibri" w:cs="Calibri" w:eastAsia="Calibri" w:hAnsi="Calibri"/>
              </w:rPr>
            </w:pPr>
            <w:r w:rsidDel="00000000" w:rsidR="00000000" w:rsidRPr="00000000">
              <w:rPr>
                <w:rtl w:val="0"/>
              </w:rPr>
              <w:t xml:space="preserve">Stosunek gęstości gazu do gęstości powietrza (15°C, 1 bar)</w:t>
            </w:r>
            <w:r w:rsidDel="00000000" w:rsidR="00000000" w:rsidRPr="00000000">
              <w:rPr>
                <w:rtl w:val="0"/>
              </w:rPr>
            </w:r>
          </w:p>
        </w:tc>
        <w:tc>
          <w:tcPr/>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tl w:val="0"/>
              </w:rPr>
              <w:t xml:space="preserve">0,0696</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46">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tl w:val="0"/>
              </w:rPr>
              <w:t xml:space="preserve">Punkt krytyczny</w:t>
            </w:r>
            <w:r w:rsidDel="00000000" w:rsidR="00000000" w:rsidRPr="00000000">
              <w:rPr>
                <w:rtl w:val="0"/>
              </w:rPr>
            </w:r>
          </w:p>
        </w:tc>
        <w:tc>
          <w:tcPr/>
          <w:p w:rsidR="00000000" w:rsidDel="00000000" w:rsidP="00000000" w:rsidRDefault="00000000" w:rsidRPr="00000000" w14:paraId="00000048">
            <w:pPr>
              <w:spacing w:after="0" w:line="240" w:lineRule="auto"/>
              <w:rPr>
                <w:rFonts w:ascii="Calibri" w:cs="Calibri" w:eastAsia="Calibri" w:hAnsi="Calibri"/>
                <w:color w:val="000000"/>
              </w:rPr>
            </w:pPr>
            <w:r w:rsidDel="00000000" w:rsidR="00000000" w:rsidRPr="00000000">
              <w:rPr>
                <w:rtl w:val="0"/>
              </w:rPr>
              <w:t xml:space="preserve">-239,9°C / 12,97 bar</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4A">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B">
            <w:pPr>
              <w:spacing w:after="0" w:line="240" w:lineRule="auto"/>
              <w:rPr>
                <w:rFonts w:ascii="Calibri" w:cs="Calibri" w:eastAsia="Calibri" w:hAnsi="Calibri"/>
              </w:rPr>
            </w:pPr>
            <w:r w:rsidDel="00000000" w:rsidR="00000000" w:rsidRPr="00000000">
              <w:rPr>
                <w:rtl w:val="0"/>
              </w:rPr>
              <w:t xml:space="preserve">Temperatura wrzenia Ts przy 1,013 bar</w:t>
            </w:r>
            <w:r w:rsidDel="00000000" w:rsidR="00000000" w:rsidRPr="00000000">
              <w:rPr>
                <w:rtl w:val="0"/>
              </w:rPr>
            </w:r>
          </w:p>
        </w:tc>
        <w:tc>
          <w:tcPr/>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tl w:val="0"/>
              </w:rPr>
              <w:t xml:space="preserve">-253,0°C</w:t>
            </w:r>
            <w:r w:rsidDel="00000000" w:rsidR="00000000" w:rsidRPr="00000000">
              <w:rPr>
                <w:rtl w:val="0"/>
              </w:rPr>
            </w:r>
          </w:p>
        </w:tc>
      </w:tr>
      <w:tr>
        <w:trPr>
          <w:trHeight w:val="330" w:hRule="atLeast"/>
        </w:trPr>
        <w:tc>
          <w:tcPr>
            <w:vMerge w:val="continue"/>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Mar>
              <w:top w:w="55.0" w:type="dxa"/>
              <w:left w:w="55.0" w:type="dxa"/>
              <w:bottom w:w="55.0" w:type="dxa"/>
              <w:right w:w="55.0" w:type="dxa"/>
            </w:tcMar>
          </w:tcPr>
          <w:p w:rsidR="00000000" w:rsidDel="00000000" w:rsidP="00000000" w:rsidRDefault="00000000" w:rsidRPr="00000000" w14:paraId="0000004E">
            <w:pPr>
              <w:spacing w:after="0" w:before="0" w:line="240" w:lineRule="auto"/>
              <w:ind w:left="0" w:firstLine="0"/>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F">
            <w:pPr>
              <w:spacing w:after="0" w:line="240" w:lineRule="auto"/>
              <w:rPr/>
            </w:pPr>
            <w:r w:rsidDel="00000000" w:rsidR="00000000" w:rsidRPr="00000000">
              <w:rPr>
                <w:rtl w:val="0"/>
              </w:rPr>
              <w:t xml:space="preserve">Temperatura płomienia (w powietrzu przy 20°C, 1,013 bar)</w:t>
            </w:r>
          </w:p>
        </w:tc>
        <w:tc>
          <w:tcPr/>
          <w:p w:rsidR="00000000" w:rsidDel="00000000" w:rsidP="00000000" w:rsidRDefault="00000000" w:rsidRPr="00000000" w14:paraId="00000050">
            <w:pPr>
              <w:spacing w:after="0" w:line="240" w:lineRule="auto"/>
              <w:rPr/>
            </w:pPr>
            <w:r w:rsidDel="00000000" w:rsidR="00000000" w:rsidRPr="00000000">
              <w:rPr>
                <w:rtl w:val="0"/>
              </w:rPr>
              <w:t xml:space="preserve">1430°C</w:t>
            </w:r>
          </w:p>
        </w:tc>
      </w:tr>
    </w:tbl>
    <w:p w:rsidR="00000000" w:rsidDel="00000000" w:rsidP="00000000" w:rsidRDefault="00000000" w:rsidRPr="00000000" w14:paraId="00000051">
      <w:pPr>
        <w:spacing w:after="0" w:line="360" w:lineRule="auto"/>
        <w:rPr/>
      </w:pPr>
      <w:r w:rsidDel="00000000" w:rsidR="00000000" w:rsidRPr="00000000">
        <w:rPr>
          <w:rtl w:val="0"/>
        </w:rPr>
      </w:r>
    </w:p>
    <w:p w:rsidR="00000000" w:rsidDel="00000000" w:rsidP="00000000" w:rsidRDefault="00000000" w:rsidRPr="00000000" w14:paraId="00000052">
      <w:pPr>
        <w:spacing w:after="0" w:line="360" w:lineRule="auto"/>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417"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pos="4536"/>
        <w:tab w:val="right" w:pos="9072"/>
      </w:tabs>
      <w:spacing w:after="0" w:line="240" w:lineRule="auto"/>
      <w:jc w:val="right"/>
      <w:rPr>
        <w:color w:val="000000"/>
        <w:sz w:val="20"/>
        <w:szCs w:val="20"/>
      </w:rPr>
    </w:pPr>
    <w:r w:rsidDel="00000000" w:rsidR="00000000" w:rsidRPr="00000000">
      <w:rPr>
        <w:b w:val="1"/>
        <w:sz w:val="28"/>
        <w:szCs w:val="28"/>
      </w:rPr>
      <w:drawing>
        <wp:inline distB="0" distT="0" distL="0" distR="0">
          <wp:extent cx="5760720" cy="6775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677545"/>
                  </a:xfrm>
                  <a:prstGeom prst="rect"/>
                  <a:ln/>
                </pic:spPr>
              </pic:pic>
            </a:graphicData>
          </a:graphic>
        </wp:inline>
      </w:drawing>
    </w:r>
    <w:r w:rsidDel="00000000" w:rsidR="00000000" w:rsidRPr="00000000">
      <w:rPr>
        <w:color w:val="000000"/>
        <w:sz w:val="20"/>
        <w:szCs w:val="20"/>
        <w:rtl w:val="0"/>
      </w:rPr>
      <w:t xml:space="preserve">Strona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z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70.0" w:type="dxa"/>
        <w:bottom w:w="28.0" w:type="dxa"/>
        <w:right w:w="70.0" w:type="dxa"/>
      </w:tblCellMar>
    </w:tblPr>
  </w:style>
  <w:style w:type="table" w:styleId="Table2">
    <w:basedOn w:val="TableNormal"/>
    <w:tblPr>
      <w:tblStyleRowBandSize w:val="1"/>
      <w:tblStyleColBandSize w:val="1"/>
      <w:tblCellMar>
        <w:top w:w="28.0" w:type="dxa"/>
        <w:left w:w="70.0" w:type="dxa"/>
        <w:bottom w:w="28.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