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C0AE1" w14:textId="132714B4" w:rsidR="00063388" w:rsidRDefault="002C4A1E" w:rsidP="001D09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80" w:firstLineChars="0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Ożarów Mazowiecki, dnia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D096A"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 xml:space="preserve"> marca 2021</w:t>
      </w:r>
      <w:r>
        <w:rPr>
          <w:rFonts w:ascii="Arial" w:eastAsia="Arial" w:hAnsi="Arial" w:cs="Arial"/>
          <w:color w:val="000000"/>
          <w:sz w:val="20"/>
          <w:szCs w:val="20"/>
        </w:rPr>
        <w:t> roku</w:t>
      </w:r>
    </w:p>
    <w:p w14:paraId="7E4A1C1F" w14:textId="77777777" w:rsidR="00063388" w:rsidRDefault="00063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C25CEEA" w14:textId="77777777" w:rsidR="00063388" w:rsidRDefault="00063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17FD860" w14:textId="5E7BFE8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bookmarkStart w:id="0" w:name="_heading=h.tyjcwt" w:colFirst="0" w:colLast="0"/>
      <w:bookmarkEnd w:id="0"/>
      <w:r>
        <w:rPr>
          <w:rFonts w:ascii="Arial" w:eastAsia="Arial" w:hAnsi="Arial" w:cs="Arial"/>
          <w:b/>
          <w:color w:val="000000"/>
        </w:rPr>
        <w:t>Zapytanie ofertowe nr SDM-WS/</w:t>
      </w:r>
      <w:r>
        <w:rPr>
          <w:rFonts w:ascii="Arial" w:eastAsia="Arial" w:hAnsi="Arial" w:cs="Arial"/>
          <w:b/>
        </w:rPr>
        <w:t>38</w:t>
      </w:r>
      <w:r>
        <w:rPr>
          <w:rFonts w:ascii="Arial" w:eastAsia="Arial" w:hAnsi="Arial" w:cs="Arial"/>
          <w:b/>
          <w:color w:val="000000"/>
        </w:rPr>
        <w:t xml:space="preserve"> z dnia </w:t>
      </w:r>
      <w:r w:rsidR="001D096A">
        <w:rPr>
          <w:rFonts w:ascii="Arial" w:eastAsia="Arial" w:hAnsi="Arial" w:cs="Arial"/>
          <w:b/>
        </w:rPr>
        <w:t>11</w:t>
      </w:r>
      <w:r>
        <w:rPr>
          <w:rFonts w:ascii="Arial" w:eastAsia="Arial" w:hAnsi="Arial" w:cs="Arial"/>
          <w:b/>
        </w:rPr>
        <w:t xml:space="preserve"> marca 2021</w:t>
      </w:r>
      <w:r>
        <w:rPr>
          <w:rFonts w:ascii="Arial" w:eastAsia="Arial" w:hAnsi="Arial" w:cs="Arial"/>
          <w:b/>
          <w:color w:val="000000"/>
        </w:rPr>
        <w:t xml:space="preserve"> r.</w:t>
      </w:r>
    </w:p>
    <w:p w14:paraId="309CADF9" w14:textId="77777777" w:rsidR="00063388" w:rsidRDefault="00063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5CAEDCC" w14:textId="77777777" w:rsidR="00063388" w:rsidRDefault="002C4A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Informacje ogólne</w:t>
      </w:r>
    </w:p>
    <w:p w14:paraId="55115166" w14:textId="77777777" w:rsidR="00063388" w:rsidRDefault="002C4A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Zamówienie: Niniejsze zapytanie ofertowe dotyczy dostawy pomiarów potrzebnych w celu kompleksowej realizacji przez VIGO System Spółka Akcyjna </w:t>
      </w:r>
      <w:r>
        <w:rPr>
          <w:rFonts w:ascii="Arial" w:eastAsia="Arial" w:hAnsi="Arial" w:cs="Arial"/>
          <w:color w:val="000000"/>
          <w:sz w:val="20"/>
          <w:szCs w:val="20"/>
        </w:rPr>
        <w:br/>
        <w:t>z siedzibą w Ożarowie Mazowieckim projektu „Technologia produkcji kluczowych dla rozwoju fotoniki nowatorskich st</w:t>
      </w:r>
      <w:r>
        <w:rPr>
          <w:rFonts w:ascii="Arial" w:eastAsia="Arial" w:hAnsi="Arial" w:cs="Arial"/>
          <w:color w:val="000000"/>
          <w:sz w:val="20"/>
          <w:szCs w:val="20"/>
        </w:rPr>
        <w:t>ruktur epitaksjalnych oraz przyrządów laserujących VCSEL” w ramach konkursu Ścieżka dla Mazowsza/2019, nr wniosku o dofinansowanie: MAZOWSZE/0032/19</w:t>
      </w:r>
    </w:p>
    <w:p w14:paraId="146C88EE" w14:textId="77777777" w:rsidR="00063388" w:rsidRDefault="002C4A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Zamawiający: VIGO System Spółka Akcyjna z siedzibą w Ożarowie Mazowieckim, ul. Poznańska 129/133, 05-850 Oż</w:t>
      </w:r>
      <w:r>
        <w:rPr>
          <w:rFonts w:ascii="Arial" w:eastAsia="Arial" w:hAnsi="Arial" w:cs="Arial"/>
          <w:color w:val="000000"/>
          <w:sz w:val="20"/>
          <w:szCs w:val="20"/>
        </w:rPr>
        <w:t>arów Mazowiecki, wpisana do Rejestru Przedsiębiorców Krajowego Rejestru Sądowego prowadzonego przez Sąd Rejonowy dla m.st. Warszawy w Warszawie, Wydział XIV Gospodarczy Krajowego Rejestru Sądowego, pod numerem KRS 0000113394, posiadająca numer NIP: 5270207</w:t>
      </w:r>
      <w:r>
        <w:rPr>
          <w:rFonts w:ascii="Arial" w:eastAsia="Arial" w:hAnsi="Arial" w:cs="Arial"/>
          <w:color w:val="000000"/>
          <w:sz w:val="20"/>
          <w:szCs w:val="20"/>
        </w:rPr>
        <w:t>340, REGON: 010265179</w:t>
      </w:r>
      <w:r>
        <w:rPr>
          <w:rFonts w:ascii="Arial" w:eastAsia="Arial" w:hAnsi="Arial" w:cs="Arial"/>
          <w:color w:val="000000"/>
          <w:sz w:val="20"/>
          <w:szCs w:val="20"/>
        </w:rPr>
        <w:t>, o kapitale zakładowym w wysokości 729.000,00 złotych (w całości wpłaconym).</w:t>
      </w:r>
    </w:p>
    <w:p w14:paraId="22CDC1E5" w14:textId="77777777" w:rsidR="00063388" w:rsidRDefault="00063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A9420D8" w14:textId="77777777" w:rsidR="00063388" w:rsidRDefault="002C4A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Opis przedmiotu zamówienia</w:t>
      </w:r>
    </w:p>
    <w:p w14:paraId="2FBCD038" w14:textId="77777777" w:rsidR="00063388" w:rsidRDefault="002C4A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3dy6vkm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>Przedmiotem Zamówienia jest preparatyka i pomiar próbek struktur niezbędnych do realizacji przez Zamawiającego projektu pod nazwą „Technologia produkcji kluczowych dla rozwoju fotoniki nowatorskich struktur epitaksjalnych oraz przyrządów laserujących VCSEL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” w ramach konkursu Ścieżka dla Mazowsza/2019, nr wniosku o dofinansowanie: MAZOWSZE/0032/19, umowa z dnia 21 listopada 2019 r. nr: MAZOWSZE/0032/19-00 zawarta z Narodowym Centrum Badań i Rozwoju. </w:t>
      </w:r>
    </w:p>
    <w:p w14:paraId="798CAE56" w14:textId="77777777" w:rsidR="00063388" w:rsidRDefault="002C4A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Przedmiotem zamówienia jest wykonanie pomiarów trzech prób</w:t>
      </w:r>
      <w:r>
        <w:rPr>
          <w:rFonts w:ascii="Arial" w:eastAsia="Arial" w:hAnsi="Arial" w:cs="Arial"/>
          <w:sz w:val="20"/>
          <w:szCs w:val="20"/>
        </w:rPr>
        <w:t xml:space="preserve">ek – struktur epitaksjalnych materiałów półprzewodnikowych III-V techniką HRTEM (High resolution transmission electron microscopy) z wykorzystaniem mikroskopu z podwójną korekcją abberacji sferycznej wyposażonego w układ detektorów  EDS (Energy dispersive </w:t>
      </w:r>
      <w:r>
        <w:rPr>
          <w:rFonts w:ascii="Arial" w:eastAsia="Arial" w:hAnsi="Arial" w:cs="Arial"/>
          <w:sz w:val="20"/>
          <w:szCs w:val="20"/>
        </w:rPr>
        <w:t>x-ray spectroscopy) oraz detektor HAADF (High-angle annular dark-field)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 szczegółowy opis znajduje się w załączniku numer 1 do Zapytania ofertowego.</w:t>
      </w:r>
    </w:p>
    <w:p w14:paraId="250909B6" w14:textId="77777777" w:rsidR="00063388" w:rsidRDefault="002C4A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Jeżeli w opisie przedmiotu zamówienia wskazano jakikolwiek znak towarowy, patent, rodzaj czy specyficzne </w:t>
      </w:r>
      <w:r>
        <w:rPr>
          <w:rFonts w:ascii="Arial" w:eastAsia="Arial" w:hAnsi="Arial" w:cs="Arial"/>
          <w:color w:val="000000"/>
          <w:sz w:val="20"/>
          <w:szCs w:val="20"/>
        </w:rPr>
        <w:t>pochodzenie należy przyjąć, że wskazane znaki towarowe, patenty, rodzaje czy pochodzenie określają parametry techniczne, eksploatacyjne, użytkowe, co oznacza, że Zamawiający dopuszcza złożenie oferty w tej części przedmiotu zamówienia o równoważnych lub 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pszych parametrach technicznych, eksploatacyjnych i użytkowych. Wszelkie wskazanie określonego typu należy traktować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jako przykładowe i pomocnicze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F465BAE" w14:textId="77777777" w:rsidR="001D096A" w:rsidRPr="001D096A" w:rsidRDefault="002C4A1E" w:rsidP="001D096A">
      <w:pPr>
        <w:pStyle w:val="Akapitzlist"/>
        <w:numPr>
          <w:ilvl w:val="0"/>
          <w:numId w:val="5"/>
        </w:numPr>
        <w:ind w:leftChars="0" w:firstLineChars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D096A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Zamawiający nie dopuszcza możliwości składania ofert częściowych.  </w:t>
      </w:r>
      <w:r w:rsidR="001D096A" w:rsidRPr="001D096A">
        <w:rPr>
          <w:rFonts w:ascii="Arial" w:eastAsia="Arial" w:hAnsi="Arial" w:cs="Arial"/>
          <w:color w:val="000000"/>
          <w:sz w:val="20"/>
          <w:szCs w:val="20"/>
        </w:rPr>
        <w:t>Podział zamówienia na części jest technologicznie nieuzasadniony, warunki rynkowe i technologiczne powodują, że dostawy w mniejszych częściach powodowałyby utrudnienia dla Zamawiającego w prawidłowym osiągnięciu celów projektu.</w:t>
      </w:r>
    </w:p>
    <w:p w14:paraId="66C65751" w14:textId="59380DE2" w:rsidR="00063388" w:rsidRDefault="00063388" w:rsidP="001D09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210B436" w14:textId="77777777" w:rsidR="00063388" w:rsidRDefault="00063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2" w:name="_heading=h.30j0zll" w:colFirst="0" w:colLast="0"/>
      <w:bookmarkEnd w:id="2"/>
    </w:p>
    <w:p w14:paraId="35DE6A23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>Termin realizacji Zamówienia: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309A977C" w14:textId="1C7D6665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Termin realizacji przedmiotu zamówienia: </w:t>
      </w:r>
      <w:r w:rsidR="00786F85">
        <w:rPr>
          <w:rFonts w:ascii="Arial" w:eastAsia="Arial" w:hAnsi="Arial" w:cs="Arial"/>
          <w:b/>
          <w:sz w:val="20"/>
          <w:szCs w:val="20"/>
        </w:rPr>
        <w:t>40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dni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od dnia zawarcia umowy. </w:t>
      </w:r>
    </w:p>
    <w:p w14:paraId="35B23090" w14:textId="11CDE4EB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FFDC6DA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>Warunki udziału w postępowaniu oraz opis sposobu dokonywania oceny ich spełniania</w:t>
      </w:r>
    </w:p>
    <w:p w14:paraId="15C25810" w14:textId="77777777" w:rsidR="00063388" w:rsidRDefault="002C4A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ubiegający się o udzielenie przedmiotowego zamówienia powinien złożyć podpisany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formularz ofertowy, </w:t>
      </w:r>
      <w:r>
        <w:rPr>
          <w:rFonts w:ascii="Arial" w:eastAsia="Arial" w:hAnsi="Arial" w:cs="Arial"/>
          <w:color w:val="000000"/>
          <w:sz w:val="20"/>
          <w:szCs w:val="20"/>
        </w:rPr>
        <w:t>przygotowany według wzoru określoneg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>w załączniku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nr 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Zapytania ofertowego.</w:t>
      </w:r>
    </w:p>
    <w:p w14:paraId="5BB9207F" w14:textId="77777777" w:rsidR="00063388" w:rsidRDefault="002C4A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Niezależnie od warunków wskazanych powyżej, wykonawca:</w:t>
      </w:r>
    </w:p>
    <w:p w14:paraId="68209B4D" w14:textId="77777777" w:rsidR="00063388" w:rsidRDefault="002C4A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3" w:name="_heading=h.1t3h5sf" w:colFirst="0" w:colLast="0"/>
      <w:bookmarkEnd w:id="3"/>
      <w:r>
        <w:rPr>
          <w:rFonts w:ascii="Arial" w:eastAsia="Arial" w:hAnsi="Arial" w:cs="Arial"/>
          <w:color w:val="000000"/>
          <w:sz w:val="20"/>
          <w:szCs w:val="20"/>
        </w:rPr>
        <w:t xml:space="preserve">powinien posiadać uprawnienia do wykonywania określonej działalności lub czynności, jeżeli przepisy prawa nakładają obowiązek ich posiadania;  </w:t>
      </w:r>
    </w:p>
    <w:p w14:paraId="45F2B9C8" w14:textId="77777777" w:rsidR="00063388" w:rsidRDefault="002C4A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powinien posiadać niezbędną wiedzę, doświadczenie oraz potencjał techniczny i ludzki do wykonania Zamówienia; </w:t>
      </w:r>
    </w:p>
    <w:p w14:paraId="0BCDFB36" w14:textId="77777777" w:rsidR="00063388" w:rsidRDefault="002C4A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owinien znajdować się w sytuacji ekonomicznej i finansowej zapewniającej wykonanie Zamówienia </w:t>
      </w:r>
    </w:p>
    <w:p w14:paraId="782AFA04" w14:textId="77777777" w:rsidR="00063388" w:rsidRDefault="002C4A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powinien zalegać z opłacaniem podatków, opłat oraz składek na ubezpieczenia społeczne.</w:t>
      </w:r>
    </w:p>
    <w:p w14:paraId="23C65C86" w14:textId="77777777" w:rsidR="00063388" w:rsidRDefault="002C4A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Ocena spełnienia warunków udziału w postępowaniu odbywać się będzie na podstawie złożonych przez wykonawcę oświadczeń zawartych w </w:t>
      </w:r>
      <w:r>
        <w:rPr>
          <w:rFonts w:ascii="Arial" w:eastAsia="Arial" w:hAnsi="Arial" w:cs="Arial"/>
          <w:b/>
          <w:color w:val="000000"/>
          <w:sz w:val="20"/>
          <w:szCs w:val="20"/>
        </w:rPr>
        <w:t>załączniku nr 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Zapytania ofertowego.</w:t>
      </w:r>
    </w:p>
    <w:p w14:paraId="0BD837E8" w14:textId="77777777" w:rsidR="00063388" w:rsidRDefault="002C4A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Wykonawcy mogą wspólnie ubiegać się o udzielenie zamówienia. W takim przypadku:</w:t>
      </w:r>
    </w:p>
    <w:p w14:paraId="00E56DBE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podmi</w:t>
      </w:r>
      <w:r>
        <w:rPr>
          <w:rFonts w:ascii="Arial" w:eastAsia="Arial" w:hAnsi="Arial" w:cs="Arial"/>
          <w:color w:val="000000"/>
          <w:sz w:val="20"/>
          <w:szCs w:val="20"/>
        </w:rPr>
        <w:t>oty te są zobowiązane do ustanowienia pełnomocnika w postępowaniu o udzielenie zamówienia albo do reprezentowania w postępowaniu i zawarcia umowy w sprawie zamówienia i solidarnej odpowiedzialności za jego realizację na zasadach art. 366 Kodeksu cywilnego;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podmioty te, w przypadku wybrania ich oferty jako najkorzystniejszej, zobowiązane są przedłożyć Zamawiającemu, przed podpisaniem umowy, poświadczoną za zgodność z oryginałem kopię umowy regulującej współpracę tych podmiotów;</w:t>
      </w:r>
    </w:p>
    <w:p w14:paraId="7CAFB6CF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żaden z podmiotów wspólnie ubi</w:t>
      </w:r>
      <w:r>
        <w:rPr>
          <w:rFonts w:ascii="Arial" w:eastAsia="Arial" w:hAnsi="Arial" w:cs="Arial"/>
          <w:color w:val="000000"/>
          <w:sz w:val="20"/>
          <w:szCs w:val="20"/>
        </w:rPr>
        <w:t>egających się o udzielenie zamówienia nie może podlegać wykluczeniu z postępowania; przy ocenie oferty złożonej przez Wykonawców wspólnie ubiegających się o udzielenie zamówienia, Zamawiający będzie brał pod uwagę łącznie uprawnienia Wykonawców do wykonywa</w:t>
      </w:r>
      <w:r>
        <w:rPr>
          <w:rFonts w:ascii="Arial" w:eastAsia="Arial" w:hAnsi="Arial" w:cs="Arial"/>
          <w:color w:val="000000"/>
          <w:sz w:val="20"/>
          <w:szCs w:val="20"/>
        </w:rPr>
        <w:t>nia działalności/czynności wchodzących w zakres zamówienia, ich łączny potencjał techniczny lub zawodowy do wykonywania zamówienia, a także ich łączną sytuację ekonomiczną lub finansową.</w:t>
      </w:r>
    </w:p>
    <w:p w14:paraId="7C052A84" w14:textId="77777777" w:rsidR="00063388" w:rsidRDefault="002C4A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Zamawiający nie dopuszcza, aby Wykonawca w celu potwierdzenia spełnia</w:t>
      </w:r>
      <w:r>
        <w:rPr>
          <w:rFonts w:ascii="Arial" w:eastAsia="Arial" w:hAnsi="Arial" w:cs="Arial"/>
          <w:color w:val="000000"/>
          <w:sz w:val="20"/>
          <w:szCs w:val="20"/>
        </w:rPr>
        <w:t>nia warunków udziału w postępowaniu polegał na zdolnościach technicznych lub zawodowych lub sytuacji finansowej lub ekonomicznej innych podmiotów - podwykonawców.</w:t>
      </w:r>
    </w:p>
    <w:p w14:paraId="6D3D1757" w14:textId="77777777" w:rsidR="00063388" w:rsidRDefault="00063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BB55B84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Informacje na temat zakresu wykluczenia – podmioty powiązane</w:t>
      </w:r>
    </w:p>
    <w:p w14:paraId="5784BAFB" w14:textId="77777777" w:rsidR="00063388" w:rsidRDefault="002C4A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4" w:name="_heading=h.4d34og8" w:colFirst="0" w:colLast="0"/>
      <w:bookmarkEnd w:id="4"/>
      <w:r>
        <w:rPr>
          <w:rFonts w:ascii="Arial" w:eastAsia="Arial" w:hAnsi="Arial" w:cs="Arial"/>
          <w:color w:val="000000"/>
          <w:sz w:val="20"/>
          <w:szCs w:val="20"/>
        </w:rPr>
        <w:t xml:space="preserve">Zamówienie nie może być udzielone podmiotom powiązanym z Zamawiającym. Za wykonawcę powiązanego uznaje się podmiot: </w:t>
      </w:r>
    </w:p>
    <w:p w14:paraId="1A061BD5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5" w:name="_heading=h.2s8eyo1" w:colFirst="0" w:colLast="0"/>
      <w:bookmarkEnd w:id="5"/>
      <w:r>
        <w:rPr>
          <w:rFonts w:ascii="Arial" w:eastAsia="Arial" w:hAnsi="Arial" w:cs="Arial"/>
          <w:color w:val="000000"/>
          <w:sz w:val="20"/>
          <w:szCs w:val="20"/>
        </w:rPr>
        <w:t xml:space="preserve">a. powiązany lub będący jednostką zależną, współzależną lub dominującą w relacji z Zamawiającym  w rozumieniu ustawy z dnia 29 września 1994 r. o rachunkowości; </w:t>
      </w:r>
    </w:p>
    <w:p w14:paraId="77667C63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b. będący podmiotem pozostającym z Zamawiającym lub członkami jego organów w takim stosunku fa</w:t>
      </w:r>
      <w:r>
        <w:rPr>
          <w:rFonts w:ascii="Arial" w:eastAsia="Arial" w:hAnsi="Arial" w:cs="Arial"/>
          <w:color w:val="000000"/>
          <w:sz w:val="20"/>
          <w:szCs w:val="20"/>
        </w:rPr>
        <w:t>ktycznym lub prawnym, który może budzić uzasadnione wątpliwości co do bezstronności w wyborze dostawcy towaru lub usługi, w szczególności pozostającym w związku małżeńskim, stosunku pokrewieństwa lub powinowactwa do drugiego stopnia włącznie, stosunku przy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sposobienia, opieki lub kurateli, także poprzez członkostwo w organach dostawcy towaru lub usługi; </w:t>
      </w:r>
    </w:p>
    <w:p w14:paraId="31BEE324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c. będący podmiotem powiązanym lub podmiotem partnerskim w stosunku do Zamawiającego  w rozumieniu Rozporządzenia nr 651/2014; </w:t>
      </w:r>
    </w:p>
    <w:p w14:paraId="031CBB9E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d. będący podmiotem powiązan</w:t>
      </w:r>
      <w:r>
        <w:rPr>
          <w:rFonts w:ascii="Arial" w:eastAsia="Arial" w:hAnsi="Arial" w:cs="Arial"/>
          <w:color w:val="000000"/>
          <w:sz w:val="20"/>
          <w:szCs w:val="20"/>
        </w:rPr>
        <w:t>ym osobowo z Zamawiającym  w rozumieniu art. 32 ust. 2 ustawy z dnia 11 marca 2004 r. o podatku od towarów i usług.</w:t>
      </w:r>
    </w:p>
    <w:p w14:paraId="00564038" w14:textId="77777777" w:rsidR="00063388" w:rsidRDefault="00063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EA5115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Wymagania dotyczące dokumentów składanych przez Wykonawców:</w:t>
      </w:r>
    </w:p>
    <w:p w14:paraId="43354799" w14:textId="77777777" w:rsidR="00063388" w:rsidRDefault="002C4A1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Zamawiający wymaga aby wykonawcy ubiegający się o udzielenie zamówienia wraz z ofertą i oświadczeniami (sporządzoną zgodnie z załącznikiem </w:t>
      </w:r>
      <w:r>
        <w:rPr>
          <w:rFonts w:ascii="Arial" w:eastAsia="Arial" w:hAnsi="Arial" w:cs="Arial"/>
          <w:b/>
          <w:color w:val="000000"/>
          <w:sz w:val="20"/>
          <w:szCs w:val="20"/>
        </w:rPr>
        <w:t>nr 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wzór formularza ofertowego) przedłożyli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dokument wskazujący osoby uprawnione do reprezentowania Wykonawcy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6E089247" w14:textId="77777777" w:rsidR="00063388" w:rsidRDefault="002C4A1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6" w:name="_heading=h.3znysh7" w:colFirst="0" w:colLast="0"/>
      <w:bookmarkEnd w:id="6"/>
      <w:r>
        <w:rPr>
          <w:rFonts w:ascii="Arial" w:eastAsia="Arial" w:hAnsi="Arial" w:cs="Arial"/>
          <w:color w:val="000000"/>
          <w:sz w:val="20"/>
          <w:szCs w:val="20"/>
        </w:rPr>
        <w:t xml:space="preserve">oferta musi być podpisana. Za podpisanie uznaje się własnoręczny czytelny podpis składający się co najmniej z nazwiska osoby (osób) uprawnionej (uprawnionych) do reprezentowania podmiotu zgodnie z formą reprezentacji określoną w dokumencie rejestrowym lub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innym urzędowym dokumencie wskazującym organy zarządu  -właściwym dla Wykonawcy lub podpis z pieczątką imienną osoby (osób) lub inny podpis pozwalający na identyfikację podpisu; </w:t>
      </w:r>
    </w:p>
    <w:p w14:paraId="59E0A72D" w14:textId="7DAFFCE5" w:rsidR="00063388" w:rsidRDefault="002C4A1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podpisany formularz ofertowy oraz inne wymagane dokumenty, muszą być złożone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 formie oryginału, zaś w przypadku złożenia dokumentów drogą elektroniczną - w formie skanów w formacie PDF.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Oferta w formie skanu może być przesłana na adres mailowy wskazany w formie zwykłej lub opatrzona bezpiecznym podpisem elektronicznym potwierdzony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m certyfikatem kwalifikowanym; pozostałe wymagane dokumenty mogą być złożone w formie oryginału lub kopii poświadczonej za zgodność z oryginałem przez Wykonawcę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, zaś w przypadku złożenia dokumentów drogą elektroniczną w formie skanów w formacie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lastRenderedPageBreak/>
        <w:t>P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DF; w przypadku podpisywania dokumentów lub poświadczania za zgodność z oryginałem kopii dokumentów przez osoby </w:t>
      </w:r>
      <w:r>
        <w:rPr>
          <w:rFonts w:ascii="Arial" w:eastAsia="Arial" w:hAnsi="Arial" w:cs="Arial"/>
          <w:b/>
          <w:sz w:val="20"/>
          <w:szCs w:val="20"/>
          <w:u w:val="single"/>
        </w:rPr>
        <w:t>niewymienione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w dokumencie rejestracyjnym Wykonawcy, należy do oferty dołączyć stosowne pełnomocnictwo. Pełnomocnictwo powinno być przedstawione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w formie oryginału lub kopii poświadczonej za zgodność z oryginałem przez notariusza lub przez wystawcę pełnomocnictwa, zaś w przypadku złożenia dokumentów drogą elektroniczną w formie skanów w formacie PDF; formularz oferty oraz opis oferty należy złożyć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w języku polskim lub angielskim zgodnie z załącznikiem nr 2, wyciąg z rejestru lub pełnomocnictwo dopuszcza się w </w:t>
      </w:r>
      <w:r w:rsidR="0063680A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urzędowym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języku europejskim;</w:t>
      </w:r>
    </w:p>
    <w:p w14:paraId="1A7A4D14" w14:textId="77777777" w:rsidR="00063388" w:rsidRDefault="002C4A1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wymaga aby wraz z ofertą Wykonawcy wspólnie ubiegający się o zamówienie przedłożyli dokument (np. pełnomocnic</w:t>
      </w:r>
      <w:r>
        <w:rPr>
          <w:rFonts w:ascii="Arial" w:eastAsia="Arial" w:hAnsi="Arial" w:cs="Arial"/>
          <w:color w:val="000000"/>
          <w:sz w:val="20"/>
          <w:szCs w:val="20"/>
        </w:rPr>
        <w:t>two) określający co najmniej jego zakres, strony występujące wspólnie oraz wskazujący pełnomocnika Wykonawców wspólnie ubiegających się o udzielenie zamówienia (pełnomocnictwo winno być przedstawione w formie oryginału, lub kopii poświadczonej notarialnie,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bądź przez jego wystawcę, zaś w przypadku złożenia dokumentów drogą elektroniczną w formie skanów w formacie PDF); w przypadku wykonawców wspólnie ubiegających się o udzielenie zamówienia, kopie dokumentów dotyczących odpowiednio każdego z wykonawców są p</w:t>
      </w:r>
      <w:r>
        <w:rPr>
          <w:rFonts w:ascii="Arial" w:eastAsia="Arial" w:hAnsi="Arial" w:cs="Arial"/>
          <w:color w:val="000000"/>
          <w:sz w:val="20"/>
          <w:szCs w:val="20"/>
        </w:rPr>
        <w:t>oświadczane za zgodność z oryginałem przez każdego z nich osobno lub przez pełnomocnika mającego umocowanie do działania w imieniu danego wykonawcy; wykonawcy wspólnie ubiegający się o zamówienie ponoszą solidarnie odpowiedzialność za realizację zamówienia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0EBC909" w14:textId="77777777" w:rsidR="00063388" w:rsidRDefault="002C4A1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Wykonawcy mający siedzibę lub miejsce zamieszkania poza terytorium Rzeczypospolitej Polskiej składają odpowiedni dokument lub dokumenty wystawione w kraju, w którym mają siedzibę lub miejsce zamieszkania. </w:t>
      </w:r>
    </w:p>
    <w:p w14:paraId="508C5721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Kryteria oceny ofert, informacje o wagach punkto</w:t>
      </w: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wych lub procentowych oraz opis sposobu przyznawania punktacji za spełnienie danego kryterium oceny ofert</w:t>
      </w:r>
    </w:p>
    <w:p w14:paraId="32F7664E" w14:textId="77777777" w:rsidR="00063388" w:rsidRDefault="002C4A1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Oferty będą oceniane według następujących kryteriów:</w:t>
      </w:r>
    </w:p>
    <w:p w14:paraId="581C8597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Cena – cena netto za preparatykę i pomiar jednej struktury, o której mowa w pkt 2.2. Zapytania ofertowego 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93DE817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7" w:name="_heading=h.1fob9te" w:colFirst="0" w:colLast="0"/>
      <w:bookmarkEnd w:id="7"/>
      <w:r>
        <w:rPr>
          <w:rFonts w:ascii="Arial" w:eastAsia="Arial" w:hAnsi="Arial" w:cs="Arial"/>
          <w:color w:val="000000"/>
          <w:sz w:val="20"/>
          <w:szCs w:val="20"/>
        </w:rPr>
        <w:t xml:space="preserve">Sposób obliczania wartości kryterium w zakresie </w:t>
      </w:r>
      <w:r>
        <w:rPr>
          <w:rFonts w:ascii="Arial" w:eastAsia="Arial" w:hAnsi="Arial" w:cs="Arial"/>
          <w:b/>
          <w:color w:val="000000"/>
          <w:sz w:val="20"/>
          <w:szCs w:val="20"/>
        </w:rPr>
        <w:t>ceny oferty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36FDAC53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Punkty dla oferty badanej = (najniższa </w:t>
      </w:r>
      <w:r>
        <w:rPr>
          <w:rFonts w:ascii="Arial" w:eastAsia="Arial" w:hAnsi="Arial" w:cs="Arial"/>
          <w:b/>
          <w:color w:val="000000"/>
          <w:sz w:val="20"/>
          <w:szCs w:val="20"/>
        </w:rPr>
        <w:t>cena netto za preparatykę i pomiar jednej struktury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/ cena netto </w:t>
      </w:r>
      <w:r>
        <w:rPr>
          <w:rFonts w:ascii="Arial" w:eastAsia="Arial" w:hAnsi="Arial" w:cs="Arial"/>
          <w:b/>
          <w:color w:val="000000"/>
          <w:sz w:val="20"/>
          <w:szCs w:val="20"/>
        </w:rPr>
        <w:t>za preparatykę i pomiar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jednej struktury dla badanej oferty) x 100.</w:t>
      </w:r>
    </w:p>
    <w:p w14:paraId="3CC8AA32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1% = 1 punkt.</w:t>
      </w:r>
    </w:p>
    <w:p w14:paraId="793602EC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Maksymalna liczba punktów do uzyskania w tym kryterium wynosi 100. </w:t>
      </w:r>
    </w:p>
    <w:p w14:paraId="281B11DF" w14:textId="77777777" w:rsidR="00063388" w:rsidRDefault="002C4A1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wyborze najkorzystniejszej oferty decyd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ować będzie największa łączna ilość uzyskanych punktów (max. 100 punktów = 100%). Obliczenia będą dokonywane z dokładnością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do dwóch miejsc po przecinku (zaokrąglając od „5” w górę). Pozostałe oferty uzyskują kolejne lokaty.</w:t>
      </w:r>
    </w:p>
    <w:p w14:paraId="31894E7C" w14:textId="77777777" w:rsidR="00063388" w:rsidRDefault="002C4A1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Jeżeli nie można będzie wybrać </w:t>
      </w:r>
      <w:r>
        <w:rPr>
          <w:rFonts w:ascii="Arial" w:eastAsia="Arial" w:hAnsi="Arial" w:cs="Arial"/>
          <w:color w:val="000000"/>
          <w:sz w:val="20"/>
          <w:szCs w:val="20"/>
        </w:rPr>
        <w:t>oferty najkorzystniejszej z uwagi na to, że dwie lub więcej ofert przedstawia taki sam bilans ceny i innych kryteriów oceny ofert, Zamawiający spośród tych ofert wybierze ofertę z najniższą ceną, a jeżeli zostały one złożone z taką samą ceną, Zamawiający w</w:t>
      </w:r>
      <w:r>
        <w:rPr>
          <w:rFonts w:ascii="Arial" w:eastAsia="Arial" w:hAnsi="Arial" w:cs="Arial"/>
          <w:color w:val="000000"/>
          <w:sz w:val="20"/>
          <w:szCs w:val="20"/>
        </w:rPr>
        <w:t>ezwie Wykonawców, którzy złożyli te oferty do przedstawienia, w terminie określonym przez Zamawiającego, dokumentów wskazujących parametry środowiskowo - klimatyczne, w celu wyboru oferty korzystniejszej pod względem oddziaływania na środowisko (w szczegól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ności mniejsza energochłonność, zużycie wody, wykorzystanie materiałów pochodzących z recyclingu). </w:t>
      </w:r>
    </w:p>
    <w:p w14:paraId="7B94C6E8" w14:textId="77777777" w:rsidR="00063388" w:rsidRDefault="00063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59FA6A6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Termin składania ofert</w:t>
      </w:r>
    </w:p>
    <w:p w14:paraId="28C8E53B" w14:textId="1F2CB8A7" w:rsidR="00063388" w:rsidRDefault="002C4A1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Ofertę należy złożyć w terminie do dnia: </w:t>
      </w:r>
      <w:r>
        <w:rPr>
          <w:rFonts w:ascii="Arial" w:eastAsia="Arial" w:hAnsi="Arial" w:cs="Arial"/>
          <w:b/>
          <w:sz w:val="20"/>
          <w:szCs w:val="20"/>
        </w:rPr>
        <w:t>1</w:t>
      </w:r>
      <w:r w:rsidR="0063680A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</w:rPr>
        <w:t xml:space="preserve"> marca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202</w:t>
      </w:r>
      <w:r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r.</w:t>
      </w:r>
    </w:p>
    <w:p w14:paraId="3E0EC161" w14:textId="77777777" w:rsidR="00063388" w:rsidRDefault="002C4A1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powinien być związany złożoną ofertą przez okres co najmniej </w:t>
      </w:r>
      <w:r>
        <w:rPr>
          <w:rFonts w:ascii="Arial" w:eastAsia="Arial" w:hAnsi="Arial" w:cs="Arial"/>
          <w:b/>
          <w:color w:val="000000"/>
          <w:sz w:val="20"/>
          <w:szCs w:val="20"/>
        </w:rPr>
        <w:t>60 dni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Bieg terminu związania ofertą rozpoczyna się wraz z upływem terminu składania ofert. </w:t>
      </w:r>
    </w:p>
    <w:p w14:paraId="571D81E0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Sposób obliczenia ceny i przygotowania oferty</w:t>
      </w:r>
    </w:p>
    <w:p w14:paraId="220C4DD6" w14:textId="77777777" w:rsidR="00063388" w:rsidRDefault="002C4A1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Sposób obliczenia ceny:</w:t>
      </w:r>
    </w:p>
    <w:p w14:paraId="4D12CDF4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w przedstawionej ofercie winien zaoferować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kompletną cenę netto, obejmującą całkowity, łączny koszt wykonania jednej preparatyki i pomiaru przedmiotu zamówienia, w tym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wszelkie elementy cenotwórcze wynikające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z jego realiz</w:t>
      </w:r>
      <w:r>
        <w:rPr>
          <w:rFonts w:ascii="Arial" w:eastAsia="Arial" w:hAnsi="Arial" w:cs="Arial"/>
          <w:b/>
          <w:color w:val="000000"/>
          <w:sz w:val="20"/>
          <w:szCs w:val="20"/>
        </w:rPr>
        <w:t>acji.</w:t>
      </w:r>
    </w:p>
    <w:p w14:paraId="6573E0DB" w14:textId="77777777" w:rsidR="00063388" w:rsidRDefault="002C4A1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Zamawiający wymaga, aby Wykonawca wyraził </w:t>
      </w:r>
      <w:r>
        <w:rPr>
          <w:rFonts w:ascii="Arial" w:eastAsia="Arial" w:hAnsi="Arial" w:cs="Arial"/>
          <w:b/>
          <w:color w:val="000000"/>
          <w:sz w:val="20"/>
          <w:szCs w:val="20"/>
        </w:rPr>
        <w:t>cenę oferty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w polskich złotych (PLN) lub w euro (EUR).</w:t>
      </w:r>
    </w:p>
    <w:p w14:paraId="29861BE2" w14:textId="77777777" w:rsidR="00063388" w:rsidRDefault="002C4A1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przypadku Wykonawców, którzy wyrażą cenę oferty w innej walucie niż PLN, dla celów wyborów oferty, Zamawiający może przeliczyć podane kwoty danej walut</w:t>
      </w:r>
      <w:r>
        <w:rPr>
          <w:rFonts w:ascii="Arial" w:eastAsia="Arial" w:hAnsi="Arial" w:cs="Arial"/>
          <w:color w:val="000000"/>
          <w:sz w:val="20"/>
          <w:szCs w:val="20"/>
        </w:rPr>
        <w:t>y po średnim kursie ogłoszonym przez NBP w dniu otwarcia ofert. W przypadku braku publikacji kursu walut przez NBP w dniu, o którym mowa powyżej, Zamawiający zastosuje ostatni kurs ogłoszony przez NBP przed tym dniem. Ryzyko kursowe ponosi Zamawiający.</w:t>
      </w:r>
    </w:p>
    <w:p w14:paraId="18E87D47" w14:textId="77777777" w:rsidR="00063388" w:rsidRDefault="002C4A1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Cen</w:t>
      </w:r>
      <w:r>
        <w:rPr>
          <w:rFonts w:ascii="Arial" w:eastAsia="Arial" w:hAnsi="Arial" w:cs="Arial"/>
          <w:color w:val="000000"/>
          <w:sz w:val="20"/>
          <w:szCs w:val="20"/>
        </w:rPr>
        <w:t>a oferty w przypadku Wykonawców nie mających siedziby lub miejsca zamieszkania na terytorium Rzeczypospolitej jest ceną netto, wyrażoną w PLN lub EURO (nie uwzględniającą podatku od towarów i usług obowiązującego w Polsce), obejmująca wszelkie koszty związ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ane w wykonaniem zamówienia, wszystkie opłaty, podatki (bez podatku od towarów i usług VAT) i wszystkie inne koszty o jakimkolwiek charakterze, które mogą powstać w związku z realizacją przedmiotu zamówienia. Cena musi być wyrażona z dokładnością do dwóch </w:t>
      </w:r>
      <w:r>
        <w:rPr>
          <w:rFonts w:ascii="Arial" w:eastAsia="Arial" w:hAnsi="Arial" w:cs="Arial"/>
          <w:color w:val="000000"/>
          <w:sz w:val="20"/>
          <w:szCs w:val="20"/>
        </w:rPr>
        <w:t>miejsc po przecinku, zgodnie z polskim systemem płatniczym po zaokrągleniu do pełnych groszy.</w:t>
      </w:r>
    </w:p>
    <w:p w14:paraId="2A1ACDE8" w14:textId="77777777" w:rsidR="00063388" w:rsidRDefault="002C4A1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Wzór formularza ofertowego stanowi załącznik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nr 2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do niniejszego zapytania ofertowego. Zamawiający wymaga złożenia oferty na realizację Zamówienia z wykorzystaniem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przedmiotowego wzorcowego formularza ofertowego. Formularz oferty powinien zawierać następujące załączniki:</w:t>
      </w:r>
    </w:p>
    <w:p w14:paraId="615A1133" w14:textId="21175BEC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odpis z KRS Wykonawcy / Odpis z CE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IDG Wykonawcy / inny dokument rejestrowy właściwy dla Wykonawcy wskazujący osoby uprawnione do reprezentowania Wykonawcy</w:t>
      </w:r>
      <w:r w:rsidR="009D099E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wystawiony nie wcześniej niż na 3 miesiące przed dniem składania ofert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; pełnomocnictwo, jeżeli oferta jest składana przez pełnomocnika; opis oferty.</w:t>
      </w:r>
    </w:p>
    <w:p w14:paraId="5752BC26" w14:textId="77777777" w:rsidR="00063388" w:rsidRDefault="002C4A1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Ofertę należy złożyć: 1) w formie pisemnej w siedzibie Za</w:t>
      </w:r>
      <w:r>
        <w:rPr>
          <w:rFonts w:ascii="Arial" w:eastAsia="Arial" w:hAnsi="Arial" w:cs="Arial"/>
          <w:color w:val="000000"/>
          <w:sz w:val="20"/>
          <w:szCs w:val="20"/>
        </w:rPr>
        <w:t>mawiającego: VIGO System Spółka Akcyjna, ul. Poznańska 129/133, 05-850 Ożarów Mazowiecki, przy czym w przypadku przesłania oferty pocztą dla zachowania terminu składania ofert decyduje data doręczenia oferty Zamawiającemu, lub 2) drogą elektroniczną na adr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es email: </w:t>
      </w:r>
      <w:r>
        <w:rPr>
          <w:rFonts w:ascii="Arial" w:eastAsia="Arial" w:hAnsi="Arial" w:cs="Arial"/>
          <w:b/>
          <w:color w:val="000000"/>
          <w:sz w:val="20"/>
          <w:szCs w:val="20"/>
        </w:rPr>
        <w:t>vigo2020tenders@vigo.com.pl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 zastrzeżeniem maksymalnej wielkości jednej wiadomości 25 MB. lub 3) drogą elektroniczną na następujący adres e-mail: vigo2020tenders@vigo.com.pl z bezpiecznym podpisem elektronicznym potwierdzonym kwalifikowanym cert</w:t>
      </w:r>
      <w:r>
        <w:rPr>
          <w:rFonts w:ascii="Arial" w:eastAsia="Arial" w:hAnsi="Arial" w:cs="Arial"/>
          <w:color w:val="000000"/>
          <w:sz w:val="20"/>
          <w:szCs w:val="20"/>
        </w:rPr>
        <w:t>yfikatem z zastrzeżeniem, że maksymalny rozmiar jednego e-maila nie może przekroczyć 25 MB - przy czym w przypadku przesłania oferty drogą elektroniczną o której mowa w pkt. 2) i 3) dla zachowania terminu składania ofert decydująca jest data zarejestrowani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wiadomości e-mail na serwerach Zamawiającego z uwzględnieniem strefy czasowej Zamawiającego. </w:t>
      </w:r>
    </w:p>
    <w:p w14:paraId="1C08E9DB" w14:textId="77777777" w:rsidR="00063388" w:rsidRDefault="00063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D002731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Badanie ofert</w:t>
      </w:r>
    </w:p>
    <w:p w14:paraId="29EC31DC" w14:textId="77777777" w:rsidR="00063388" w:rsidRDefault="002C4A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może przed upływem terminu składania ofert zmienić lub wycofać swoją ofertę. </w:t>
      </w:r>
    </w:p>
    <w:p w14:paraId="65417B18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 toku badania i oceny ofert Zamawiający może: </w:t>
      </w:r>
    </w:p>
    <w:p w14:paraId="1C1C2E13" w14:textId="77777777" w:rsidR="00063388" w:rsidRDefault="002C4A1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żądać od wykonawcy złożenia wyjaśnień dotyczących treści oferty </w:t>
      </w:r>
      <w:r>
        <w:rPr>
          <w:rFonts w:ascii="Arial" w:eastAsia="Arial" w:hAnsi="Arial" w:cs="Arial"/>
          <w:color w:val="000000"/>
          <w:sz w:val="20"/>
          <w:szCs w:val="20"/>
        </w:rPr>
        <w:br/>
        <w:t>w wyznaczonym terminie;</w:t>
      </w:r>
    </w:p>
    <w:p w14:paraId="00204707" w14:textId="77777777" w:rsidR="00063388" w:rsidRDefault="002C4A1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żądać od wykonawcy uzupełnienia lub naprawienia braków w nadesłanej dokumentacji - w wyznaczonym terminie;</w:t>
      </w:r>
    </w:p>
    <w:p w14:paraId="71518CE4" w14:textId="77777777" w:rsidR="00063388" w:rsidRDefault="002C4A1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poprawiać oczywiste omyłki pisarskie lub rachunkowe oraz inn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omyłki niepowodujące istotnych zmian w treści oferty, zawiadamiając o tym wykonawcę. </w:t>
      </w:r>
    </w:p>
    <w:p w14:paraId="6096ED41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Brak odpowiedzi wykonawcy w wyznaczonym terminie, udzielenie odpowiedzi, która nie rozwiewa wątpliwości lub nieuzupełnienie braków oferty w wyznaczonym terminie uznaje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się za cofnięcie oferty przez wykonawcę. </w:t>
      </w:r>
    </w:p>
    <w:p w14:paraId="1918CA88" w14:textId="77777777" w:rsidR="00063388" w:rsidRDefault="002C4A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Zamawiający wyklucza wykonawcę, który nie spełnia warunków udziału 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w postępowaniu o udzielenie Zamówienia. </w:t>
      </w:r>
    </w:p>
    <w:p w14:paraId="671E76CE" w14:textId="77777777" w:rsidR="00063388" w:rsidRDefault="002C4A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Zamawiający odrzuca ofertę Wykonawcy, jeżeli: </w:t>
      </w:r>
    </w:p>
    <w:p w14:paraId="16C0ADE8" w14:textId="77777777" w:rsidR="00063388" w:rsidRDefault="002C4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jej treść nie odpowiada treści zapytania ofertowego; </w:t>
      </w:r>
    </w:p>
    <w:p w14:paraId="78DC546D" w14:textId="77777777" w:rsidR="00063388" w:rsidRDefault="002C4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zawiera błędy w obliczeniu ceny, które nie podlegają usunięciu; </w:t>
      </w:r>
    </w:p>
    <w:p w14:paraId="379FCDD0" w14:textId="77777777" w:rsidR="00063388" w:rsidRDefault="002C4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zawiera rażąco niską cenę w stosunku do przedmiotu Zamówienia;</w:t>
      </w:r>
    </w:p>
    <w:p w14:paraId="08A773EA" w14:textId="77777777" w:rsidR="00063388" w:rsidRDefault="002C4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złożył więcej niż jedną ofertę. </w:t>
      </w:r>
    </w:p>
    <w:p w14:paraId="1B169933" w14:textId="77777777" w:rsidR="00063388" w:rsidRDefault="002C4A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Wykonawcy mogą zadawać pytania </w:t>
      </w:r>
      <w:r>
        <w:rPr>
          <w:rFonts w:ascii="Arial" w:eastAsia="Arial" w:hAnsi="Arial" w:cs="Arial"/>
          <w:color w:val="000000"/>
          <w:sz w:val="20"/>
          <w:szCs w:val="20"/>
        </w:rPr>
        <w:t>o wyjaśnienie wątpliwości dotyczących warunków postępowania o udzielenie Zamówienia.</w:t>
      </w:r>
    </w:p>
    <w:p w14:paraId="4CFFEE0D" w14:textId="77777777" w:rsidR="00063388" w:rsidRDefault="002C4A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Ocenie przez Zamawiającego podlegać będą tylko te oferty, które wpłyną do Zamawiającego w okresie od dnia ogłoszenia niniejszego zapytania ofertowego do dnia upływu termin</w:t>
      </w:r>
      <w:r>
        <w:rPr>
          <w:rFonts w:ascii="Arial" w:eastAsia="Arial" w:hAnsi="Arial" w:cs="Arial"/>
          <w:color w:val="000000"/>
          <w:sz w:val="20"/>
          <w:szCs w:val="20"/>
        </w:rPr>
        <w:t>u składania ofert. Oferty złożone po upływie niniejszego terminu nie będą rozpatrywane.</w:t>
      </w:r>
    </w:p>
    <w:p w14:paraId="115C4F3A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Osoby kontaktowe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1D582A21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Osobami kontaktowymi ze strony Zamawiającego są:</w:t>
      </w:r>
    </w:p>
    <w:p w14:paraId="5A550775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sprawach proceduralnych: Dominik Nowak, e-mail dnowak@vigo.com.pl.</w:t>
      </w:r>
    </w:p>
    <w:p w14:paraId="0B0BFAAF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 sprawach technicznych: </w:t>
      </w:r>
      <w:r>
        <w:rPr>
          <w:rFonts w:ascii="Arial" w:eastAsia="Arial" w:hAnsi="Arial" w:cs="Arial"/>
          <w:sz w:val="20"/>
          <w:szCs w:val="20"/>
        </w:rPr>
        <w:t>Jarosław Jureńczyk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e-mail </w:t>
      </w:r>
      <w:r>
        <w:rPr>
          <w:rFonts w:ascii="Arial" w:eastAsia="Arial" w:hAnsi="Arial" w:cs="Arial"/>
          <w:color w:val="000000"/>
          <w:sz w:val="20"/>
          <w:szCs w:val="20"/>
        </w:rPr>
        <w:t>jjurenczyk@vigo.com.pl</w:t>
      </w:r>
    </w:p>
    <w:p w14:paraId="659CC39E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Informacja o wyborze najkorzystniejszej oferty</w:t>
      </w:r>
    </w:p>
    <w:p w14:paraId="4A097F81" w14:textId="77777777" w:rsidR="00063388" w:rsidRDefault="002C4A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Zamawiający zastrzega sobie prawo do rozpoczęcia negocjacji z Wykonawcami, których oferty zostały prawidłowo złożone w toku postępowania. Negocjacje </w:t>
      </w:r>
      <w:r>
        <w:rPr>
          <w:rFonts w:ascii="Arial" w:eastAsia="Arial" w:hAnsi="Arial" w:cs="Arial"/>
          <w:color w:val="000000"/>
          <w:sz w:val="20"/>
          <w:szCs w:val="20"/>
        </w:rPr>
        <w:br/>
        <w:t>w celu polepszenia warunków zamówienia mogą dotyczyć w szczególności ceny. Negocjacje będą prowadzone w sp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osób nie pogarszający warunków zamówienia określonych w zapytaniu ofertowym, w sposób przejrzysty i nie naruszający dostępu wszystkich wykonawców do negocjacji. </w:t>
      </w:r>
    </w:p>
    <w:p w14:paraId="696D6269" w14:textId="77777777" w:rsidR="00063388" w:rsidRDefault="002C4A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może zamknąć postępowanie o udzielenie Zamówienia bez dokonywania wyboru jakiejkol</w:t>
      </w:r>
      <w:r>
        <w:rPr>
          <w:rFonts w:ascii="Arial" w:eastAsia="Arial" w:hAnsi="Arial" w:cs="Arial"/>
          <w:color w:val="000000"/>
          <w:sz w:val="20"/>
          <w:szCs w:val="20"/>
        </w:rPr>
        <w:t>wiek oferty.</w:t>
      </w:r>
    </w:p>
    <w:p w14:paraId="24653B3A" w14:textId="6551969E" w:rsidR="00063388" w:rsidRDefault="002C4A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zawiadomi wykonawców o wyborze najkorzystniejszej oferty, względnie o zamknięciu postępowania o udzielenie Zamówienia bez dokonywania wyboru jakiejkolwiek oferty. Zawiadomienie nastąpi w sposób przewidziany dla upublicznienia ninie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jszego zapytania ofertowego tj. na stronie </w:t>
      </w:r>
      <w:r w:rsidR="009D099E" w:rsidRPr="009D099E">
        <w:rPr>
          <w:rFonts w:ascii="Arial" w:eastAsia="Arial" w:hAnsi="Arial" w:cs="Arial"/>
          <w:color w:val="000000"/>
          <w:sz w:val="20"/>
          <w:szCs w:val="20"/>
        </w:rPr>
        <w:t>https://vigo.com.pl/o-nas/zamowienia/</w:t>
      </w:r>
      <w:r w:rsidR="009D099E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A9DD4D2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 xml:space="preserve">Odpowiedzialność Wykonawcy </w:t>
      </w:r>
    </w:p>
    <w:p w14:paraId="73FA5154" w14:textId="01F4A88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Kwestie praw i obowiązków Stron </w:t>
      </w:r>
      <w:r w:rsidR="0063680A">
        <w:rPr>
          <w:rFonts w:ascii="Arial" w:eastAsia="Arial" w:hAnsi="Arial" w:cs="Arial"/>
          <w:color w:val="000000"/>
          <w:sz w:val="20"/>
          <w:szCs w:val="20"/>
        </w:rPr>
        <w:t xml:space="preserve">orasz szczegółowy sposób wykonania umowy </w:t>
      </w:r>
      <w:r>
        <w:rPr>
          <w:rFonts w:ascii="Arial" w:eastAsia="Arial" w:hAnsi="Arial" w:cs="Arial"/>
          <w:color w:val="000000"/>
          <w:sz w:val="20"/>
          <w:szCs w:val="20"/>
        </w:rPr>
        <w:t>reguluje umowa, której wzór stanowi załącznik nr 3 do Zapytania Ofertowego.</w:t>
      </w:r>
    </w:p>
    <w:p w14:paraId="650F09EF" w14:textId="77777777" w:rsidR="00063388" w:rsidRDefault="002C4A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lightGray"/>
        </w:rPr>
        <w:t>Postanowienia końcowe</w:t>
      </w:r>
    </w:p>
    <w:p w14:paraId="0CFD10EF" w14:textId="77777777" w:rsidR="00063388" w:rsidRDefault="002C4A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zastrzega sobie prawo unieważnienia zapytania ofertowego w każdej chwili, bez podania przyczyny.</w:t>
      </w:r>
    </w:p>
    <w:p w14:paraId="637F6502" w14:textId="77777777" w:rsidR="00063388" w:rsidRDefault="002C4A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Zamawiający może </w:t>
      </w:r>
      <w:r>
        <w:rPr>
          <w:rFonts w:ascii="Arial" w:eastAsia="Arial" w:hAnsi="Arial" w:cs="Arial"/>
          <w:color w:val="000000"/>
          <w:sz w:val="20"/>
          <w:szCs w:val="20"/>
        </w:rPr>
        <w:t>w każdym czasie bez podania przyczyny odwołać lub zmienić treść niniejszego zapytania ofertowego. Jeżeli zmiany będą miały wpływ na treść ofert składanych w toku postępowania, Zamawiający przedłuży termin składania ofert.</w:t>
      </w:r>
    </w:p>
    <w:p w14:paraId="2952E2CE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Załączniki</w:t>
      </w:r>
    </w:p>
    <w:p w14:paraId="6BD3D3F2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Do niniejszego zapytania ofertowego dołączone są następujące dokumenty:</w:t>
      </w:r>
    </w:p>
    <w:p w14:paraId="3876E652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Załącznik nr 1 - opis przedmiotu zamówienia;</w:t>
      </w:r>
    </w:p>
    <w:p w14:paraId="446EB7EC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Załącznik nr 2 - wzór formularza oferty;</w:t>
      </w:r>
    </w:p>
    <w:p w14:paraId="6692B44B" w14:textId="77777777" w:rsidR="00063388" w:rsidRDefault="002C4A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Załącznik nr 3 – wzór umowy.</w:t>
      </w:r>
    </w:p>
    <w:sectPr w:rsidR="000633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276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A4FFB" w14:textId="77777777" w:rsidR="002C4A1E" w:rsidRDefault="002C4A1E">
      <w:pPr>
        <w:spacing w:line="240" w:lineRule="auto"/>
        <w:ind w:left="0" w:hanging="2"/>
      </w:pPr>
      <w:r>
        <w:separator/>
      </w:r>
    </w:p>
  </w:endnote>
  <w:endnote w:type="continuationSeparator" w:id="0">
    <w:p w14:paraId="6D461D24" w14:textId="77777777" w:rsidR="002C4A1E" w:rsidRDefault="002C4A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0BE8A" w14:textId="77777777" w:rsidR="00063388" w:rsidRDefault="000633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3EC25" w14:textId="77777777" w:rsidR="00063388" w:rsidRDefault="002C4A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D096A">
      <w:rPr>
        <w:color w:val="000000"/>
      </w:rPr>
      <w:fldChar w:fldCharType="separate"/>
    </w:r>
    <w:r w:rsidR="001D096A">
      <w:rPr>
        <w:noProof/>
        <w:color w:val="000000"/>
      </w:rPr>
      <w:t>1</w:t>
    </w:r>
    <w:r>
      <w:rPr>
        <w:color w:val="000000"/>
      </w:rPr>
      <w:fldChar w:fldCharType="end"/>
    </w:r>
  </w:p>
  <w:p w14:paraId="275715D1" w14:textId="77777777" w:rsidR="00063388" w:rsidRDefault="000633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CDD7E" w14:textId="77777777" w:rsidR="00063388" w:rsidRDefault="000633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1A8A049D" w14:textId="77777777" w:rsidR="00063388" w:rsidRDefault="000633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429D3" w14:textId="77777777" w:rsidR="002C4A1E" w:rsidRDefault="002C4A1E">
      <w:pPr>
        <w:spacing w:line="240" w:lineRule="auto"/>
        <w:ind w:left="0" w:hanging="2"/>
      </w:pPr>
      <w:r>
        <w:separator/>
      </w:r>
    </w:p>
  </w:footnote>
  <w:footnote w:type="continuationSeparator" w:id="0">
    <w:p w14:paraId="05EF6EE3" w14:textId="77777777" w:rsidR="002C4A1E" w:rsidRDefault="002C4A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72D63" w14:textId="77777777" w:rsidR="00063388" w:rsidRDefault="000633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469E5" w14:textId="77777777" w:rsidR="00063388" w:rsidRDefault="002C4A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  <w:r>
      <w:rPr>
        <w:noProof/>
        <w:color w:val="000000"/>
        <w:sz w:val="22"/>
        <w:szCs w:val="22"/>
      </w:rPr>
      <w:drawing>
        <wp:inline distT="0" distB="0" distL="0" distR="0" wp14:anchorId="57E0FAAA" wp14:editId="6CFD3DDF">
          <wp:extent cx="5391785" cy="1061085"/>
          <wp:effectExtent l="0" t="0" r="0" b="0"/>
          <wp:docPr id="104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785" cy="1061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28D22" w14:textId="77777777" w:rsidR="00063388" w:rsidRDefault="0006338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404040"/>
        <w:sz w:val="20"/>
        <w:szCs w:val="20"/>
      </w:rPr>
    </w:pPr>
  </w:p>
  <w:tbl>
    <w:tblPr>
      <w:tblStyle w:val="a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063388" w14:paraId="696107A5" w14:textId="77777777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14:paraId="029D32FD" w14:textId="77777777" w:rsidR="00063388" w:rsidRDefault="002C4A1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4A3B865A" wp14:editId="689E0BBA">
                <wp:extent cx="1105535" cy="589915"/>
                <wp:effectExtent l="0" t="0" r="0" b="0"/>
                <wp:docPr id="1042" name="image1.jpg" descr="Logo POI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POI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589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63B9BB05" w14:textId="77777777" w:rsidR="00063388" w:rsidRDefault="0006338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6748A7FA" w14:textId="77777777" w:rsidR="00063388" w:rsidRDefault="002C4A1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1234C107" wp14:editId="0CDDF6F3">
                <wp:extent cx="1638935" cy="561340"/>
                <wp:effectExtent l="0" t="0" r="0" b="0"/>
                <wp:docPr id="1041" name="image2.jpg" descr="UE EFRR_po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UE EFRR_pol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935" cy="561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A6F3F60" w14:textId="77777777" w:rsidR="00063388" w:rsidRDefault="000633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28DF1813" w14:textId="77777777" w:rsidR="00063388" w:rsidRDefault="00063388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11AB4E59" w14:textId="77777777" w:rsidR="00063388" w:rsidRDefault="000633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2F09"/>
    <w:multiLevelType w:val="multilevel"/>
    <w:tmpl w:val="4612B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1AA17C0"/>
    <w:multiLevelType w:val="multilevel"/>
    <w:tmpl w:val="91748D42"/>
    <w:lvl w:ilvl="0">
      <w:start w:val="1"/>
      <w:numFmt w:val="decimal"/>
      <w:pStyle w:val="Nagwek11"/>
      <w:lvlText w:val="%1."/>
      <w:lvlJc w:val="left"/>
      <w:pPr>
        <w:ind w:left="718" w:hanging="360"/>
      </w:pPr>
    </w:lvl>
    <w:lvl w:ilvl="1">
      <w:start w:val="1"/>
      <w:numFmt w:val="lowerLetter"/>
      <w:pStyle w:val="Nagwek2"/>
      <w:lvlText w:val="%2."/>
      <w:lvlJc w:val="left"/>
      <w:pPr>
        <w:ind w:left="1438" w:hanging="360"/>
      </w:pPr>
    </w:lvl>
    <w:lvl w:ilvl="2">
      <w:start w:val="1"/>
      <w:numFmt w:val="lowerRoman"/>
      <w:pStyle w:val="Nagwek3"/>
      <w:lvlText w:val="%3."/>
      <w:lvlJc w:val="right"/>
      <w:pPr>
        <w:ind w:left="2158" w:hanging="180"/>
      </w:pPr>
    </w:lvl>
    <w:lvl w:ilvl="3">
      <w:start w:val="1"/>
      <w:numFmt w:val="decimal"/>
      <w:pStyle w:val="Nagwek4"/>
      <w:lvlText w:val="%4."/>
      <w:lvlJc w:val="left"/>
      <w:pPr>
        <w:ind w:left="2878" w:hanging="360"/>
      </w:pPr>
    </w:lvl>
    <w:lvl w:ilvl="4">
      <w:start w:val="1"/>
      <w:numFmt w:val="lowerLetter"/>
      <w:pStyle w:val="Nagwek5"/>
      <w:lvlText w:val="%5."/>
      <w:lvlJc w:val="left"/>
      <w:pPr>
        <w:ind w:left="3598" w:hanging="360"/>
      </w:pPr>
    </w:lvl>
    <w:lvl w:ilvl="5">
      <w:start w:val="1"/>
      <w:numFmt w:val="lowerRoman"/>
      <w:pStyle w:val="Nagwek6"/>
      <w:lvlText w:val="%6."/>
      <w:lvlJc w:val="right"/>
      <w:pPr>
        <w:ind w:left="4318" w:hanging="180"/>
      </w:pPr>
    </w:lvl>
    <w:lvl w:ilvl="6">
      <w:start w:val="1"/>
      <w:numFmt w:val="decimal"/>
      <w:pStyle w:val="Nagwek7"/>
      <w:lvlText w:val="%7."/>
      <w:lvlJc w:val="left"/>
      <w:pPr>
        <w:ind w:left="5038" w:hanging="360"/>
      </w:pPr>
    </w:lvl>
    <w:lvl w:ilvl="7">
      <w:start w:val="1"/>
      <w:numFmt w:val="lowerLetter"/>
      <w:pStyle w:val="Nagwek8"/>
      <w:lvlText w:val="%8."/>
      <w:lvlJc w:val="left"/>
      <w:pPr>
        <w:ind w:left="5758" w:hanging="360"/>
      </w:pPr>
    </w:lvl>
    <w:lvl w:ilvl="8">
      <w:start w:val="1"/>
      <w:numFmt w:val="lowerRoman"/>
      <w:pStyle w:val="Nagwek9"/>
      <w:lvlText w:val="%9."/>
      <w:lvlJc w:val="right"/>
      <w:pPr>
        <w:ind w:left="6478" w:hanging="180"/>
      </w:pPr>
    </w:lvl>
  </w:abstractNum>
  <w:abstractNum w:abstractNumId="2" w15:restartNumberingAfterBreak="0">
    <w:nsid w:val="0E9779AE"/>
    <w:multiLevelType w:val="multilevel"/>
    <w:tmpl w:val="B6542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B251579"/>
    <w:multiLevelType w:val="multilevel"/>
    <w:tmpl w:val="CF2C8420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08B08E8"/>
    <w:multiLevelType w:val="multilevel"/>
    <w:tmpl w:val="C826EE5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427E"/>
    <w:multiLevelType w:val="multilevel"/>
    <w:tmpl w:val="4BE628B4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B1F23D5"/>
    <w:multiLevelType w:val="multilevel"/>
    <w:tmpl w:val="D9BA72BA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BA52FF0"/>
    <w:multiLevelType w:val="multilevel"/>
    <w:tmpl w:val="7F7083AC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C494EDE"/>
    <w:multiLevelType w:val="multilevel"/>
    <w:tmpl w:val="D91EEDD8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E1E2A9D"/>
    <w:multiLevelType w:val="multilevel"/>
    <w:tmpl w:val="0F0820C2"/>
    <w:lvl w:ilvl="0">
      <w:start w:val="3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76057"/>
    <w:multiLevelType w:val="multilevel"/>
    <w:tmpl w:val="77D00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584C1FE3"/>
    <w:multiLevelType w:val="multilevel"/>
    <w:tmpl w:val="F9F23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59DC0AC2"/>
    <w:multiLevelType w:val="multilevel"/>
    <w:tmpl w:val="B1E08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60B71290"/>
    <w:multiLevelType w:val="multilevel"/>
    <w:tmpl w:val="C1E29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A6E15"/>
    <w:multiLevelType w:val="multilevel"/>
    <w:tmpl w:val="FC063850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2EF7A1B"/>
    <w:multiLevelType w:val="multilevel"/>
    <w:tmpl w:val="3C7CB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F5C5374"/>
    <w:multiLevelType w:val="multilevel"/>
    <w:tmpl w:val="B96E3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4"/>
  </w:num>
  <w:num w:numId="5">
    <w:abstractNumId w:val="13"/>
  </w:num>
  <w:num w:numId="6">
    <w:abstractNumId w:val="1"/>
  </w:num>
  <w:num w:numId="7">
    <w:abstractNumId w:val="7"/>
  </w:num>
  <w:num w:numId="8">
    <w:abstractNumId w:val="14"/>
  </w:num>
  <w:num w:numId="9">
    <w:abstractNumId w:val="9"/>
  </w:num>
  <w:num w:numId="10">
    <w:abstractNumId w:val="16"/>
  </w:num>
  <w:num w:numId="11">
    <w:abstractNumId w:val="2"/>
  </w:num>
  <w:num w:numId="12">
    <w:abstractNumId w:val="12"/>
  </w:num>
  <w:num w:numId="13">
    <w:abstractNumId w:val="11"/>
  </w:num>
  <w:num w:numId="14">
    <w:abstractNumId w:val="6"/>
  </w:num>
  <w:num w:numId="15">
    <w:abstractNumId w:val="10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88"/>
    <w:rsid w:val="00063388"/>
    <w:rsid w:val="001D096A"/>
    <w:rsid w:val="002C4A1E"/>
    <w:rsid w:val="0063680A"/>
    <w:rsid w:val="00786F85"/>
    <w:rsid w:val="009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E4F8"/>
  <w15:docId w15:val="{7B445EA8-8393-4D88-BC53-A2CD27BB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6"/>
      </w:numPr>
      <w:tabs>
        <w:tab w:val="left" w:pos="8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6"/>
      </w:numPr>
      <w:tabs>
        <w:tab w:val="left" w:pos="10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6"/>
      </w:numPr>
      <w:tabs>
        <w:tab w:val="left" w:pos="144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aliases w:val="Hoofdstukkop"/>
    <w:basedOn w:val="Normalny"/>
    <w:next w:val="Tekstpodstawowy"/>
    <w:pPr>
      <w:keepNext/>
      <w:keepLines/>
      <w:numPr>
        <w:numId w:val="6"/>
      </w:numPr>
      <w:autoSpaceDE w:val="0"/>
      <w:autoSpaceDN w:val="0"/>
      <w:adjustRightInd w:val="0"/>
      <w:spacing w:before="240" w:after="240"/>
      <w:ind w:leftChars="0" w:left="0" w:firstLineChars="0" w:firstLine="0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1">
    <w:name w:val="Stopka1"/>
    <w:aliases w:val="GJ Stopka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GJ 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1">
    <w:name w:val="Tekst komentarza1"/>
    <w:aliases w:val="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">
    <w:name w:val="Comment Text Char"/>
    <w:aliases w:val="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">
    <w:name w:val="Tekst komentarza Znak"/>
    <w:aliases w:val="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1">
    <w:name w:val="Tekst przypisu dolnego1"/>
    <w:aliases w:val="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">
    <w:name w:val="Footnote Text Char"/>
    <w:aliases w:val="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">
    <w:name w:val="Tekst przypisu dolnego Znak"/>
    <w:aliases w:val="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1">
    <w:name w:val="Tekst przypisu końcowego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">
    <w:name w:val="Tekst przypisu końcowego Znak"/>
    <w:aliases w:val="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</w:rPr>
  </w:style>
  <w:style w:type="paragraph" w:customStyle="1" w:styleId="GJZacznik2">
    <w:name w:val="GJ Załącznik 2"/>
    <w:basedOn w:val="Normalny"/>
    <w:pPr>
      <w:tabs>
        <w:tab w:val="num" w:pos="1247"/>
        <w:tab w:val="num" w:pos="1440"/>
      </w:tabs>
      <w:spacing w:after="140" w:line="290" w:lineRule="auto"/>
      <w:ind w:left="1247" w:hanging="680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tabs>
        <w:tab w:val="num" w:pos="2041"/>
        <w:tab w:val="num" w:pos="2160"/>
      </w:tabs>
      <w:spacing w:after="140" w:line="290" w:lineRule="auto"/>
      <w:ind w:left="2041" w:hanging="794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tabs>
        <w:tab w:val="num" w:pos="2880"/>
      </w:tabs>
      <w:spacing w:after="140" w:line="290" w:lineRule="auto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tabs>
        <w:tab w:val="num" w:pos="3289"/>
        <w:tab w:val="num" w:pos="3600"/>
      </w:tabs>
      <w:spacing w:after="140" w:line="290" w:lineRule="auto"/>
      <w:ind w:left="3289" w:hanging="567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tabs>
        <w:tab w:val="num" w:pos="3969"/>
        <w:tab w:val="num" w:pos="4320"/>
      </w:tabs>
      <w:spacing w:after="140" w:line="290" w:lineRule="auto"/>
      <w:ind w:left="3969" w:hanging="680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Spistreci11">
    <w:name w:val="Spis treści 11"/>
    <w:aliases w:val="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1">
    <w:name w:val="Spis treści 21"/>
    <w:aliases w:val="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1">
    <w:name w:val="Spis treści 31"/>
    <w:aliases w:val="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spacing w:val="-2"/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1"/>
    <w:next w:val="Tekstkomentarza1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tabs>
        <w:tab w:val="num" w:pos="720"/>
      </w:tabs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TableContents">
    <w:name w:val="Table Contents"/>
    <w:basedOn w:val="Normalny"/>
    <w:pPr>
      <w:widowControl w:val="0"/>
      <w:suppressLineNumbers/>
      <w:suppressAutoHyphens w:val="0"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E708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70826"/>
    <w:rPr>
      <w:position w:val="-1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0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444D8"/>
    <w:pPr>
      <w:ind w:left="720"/>
      <w:contextualSpacing/>
    </w:pPr>
  </w:style>
  <w:style w:type="table" w:customStyle="1" w:styleId="1">
    <w:name w:val="1"/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ezodstpw">
    <w:name w:val="No Spacing"/>
    <w:uiPriority w:val="1"/>
    <w:qFormat/>
    <w:rsid w:val="00B57DC9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up/YQHdmWTODTH9X31aqjI4UQA==">AMUW2mUXrCKx22+QLLr0nTpEG08VMOPY6pj7BvYFsRpOBZpYiJ4TY0RGWeitzhjjNOBhp3vRdwgvMr7XtegeNuj3qr4IO1Qk9aw+RIVt92NNtEqO1YmnmvqVrx5/uEpAsXtbtRZnuyYWAZGlE5gQsSnIvIdu5V7laGxsipiDlARtKIIPliGv/ttEM/gQ9DI86iND4pRHGo+5f6cZ9EJqAkXrbpio/XX0DiraFDy5uqHDkHyzEYGgN/I=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2460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4</cp:revision>
  <dcterms:created xsi:type="dcterms:W3CDTF">2020-04-25T00:09:00Z</dcterms:created>
  <dcterms:modified xsi:type="dcterms:W3CDTF">2021-03-11T10:55:00Z</dcterms:modified>
</cp:coreProperties>
</file>