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w:t>
      </w:r>
      <w:r w:rsidDel="00000000" w:rsidR="00000000" w:rsidRPr="00000000">
        <w:rPr>
          <w:rFonts w:ascii="Times New Roman" w:cs="Times New Roman" w:eastAsia="Times New Roman" w:hAnsi="Times New Roman"/>
          <w:rtl w:val="0"/>
        </w:rPr>
        <w:t xml:space="preserve"> 3 sierpnia </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line="360" w:lineRule="auto"/>
        <w:ind w:hanging="2"/>
        <w:jc w:val="center"/>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Zapytanie Ofertowe nr SDM-W</w:t>
      </w:r>
      <w:r w:rsidDel="00000000" w:rsidR="00000000" w:rsidRPr="00000000">
        <w:rPr>
          <w:rFonts w:ascii="Times New Roman" w:cs="Times New Roman" w:eastAsia="Times New Roman" w:hAnsi="Times New Roman"/>
          <w:b w:val="1"/>
          <w:rtl w:val="0"/>
        </w:rPr>
        <w:t xml:space="preserve">G/36</w:t>
      </w:r>
      <w:r w:rsidDel="00000000" w:rsidR="00000000" w:rsidRPr="00000000">
        <w:rPr>
          <w:rFonts w:ascii="Times New Roman" w:cs="Times New Roman" w:eastAsia="Times New Roman" w:hAnsi="Times New Roman"/>
          <w:b w:val="1"/>
          <w:color w:val="000000"/>
          <w:rtl w:val="0"/>
        </w:rPr>
        <w:t xml:space="preserve"> z dnia 3 </w:t>
      </w:r>
      <w:r w:rsidDel="00000000" w:rsidR="00000000" w:rsidRPr="00000000">
        <w:rPr>
          <w:rFonts w:ascii="Times New Roman" w:cs="Times New Roman" w:eastAsia="Times New Roman" w:hAnsi="Times New Roman"/>
          <w:b w:val="1"/>
          <w:rtl w:val="0"/>
        </w:rPr>
        <w:t xml:space="preserve">sierpnia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p>
    <w:p w:rsidR="00000000" w:rsidDel="00000000" w:rsidP="00000000" w:rsidRDefault="00000000" w:rsidRPr="00000000" w14:paraId="00000003">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z siedzibą w Ożarowie Mazowieckim projektu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7">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1"/>
      <w:bookmarkEnd w:id="1"/>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ufmy48ksyo7" w:id="2"/>
      <w:bookmarkEnd w:id="2"/>
      <w:r w:rsidDel="00000000" w:rsidR="00000000" w:rsidRPr="00000000">
        <w:rPr>
          <w:rFonts w:ascii="Times New Roman" w:cs="Times New Roman" w:eastAsia="Times New Roman" w:hAnsi="Times New Roman"/>
          <w:rtl w:val="0"/>
        </w:rPr>
        <w:t xml:space="preserve">Przedmiotem zamówienia jest dostawa:</w:t>
      </w:r>
    </w:p>
    <w:p w:rsidR="00000000" w:rsidDel="00000000" w:rsidP="00000000" w:rsidRDefault="00000000" w:rsidRPr="00000000" w14:paraId="0000000A">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Nikiel 4,5N</w:t>
        <w:tab/>
        <w:tab/>
        <w:tab/>
        <w:tab/>
        <w:tab/>
        <w:t xml:space="preserve">100 g</w:t>
      </w:r>
    </w:p>
    <w:p w:rsidR="00000000" w:rsidDel="00000000" w:rsidP="00000000" w:rsidRDefault="00000000" w:rsidRPr="00000000" w14:paraId="0000000B">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Platyna 4N</w:t>
        <w:tab/>
        <w:tab/>
        <w:tab/>
        <w:tab/>
        <w:tab/>
        <w:t xml:space="preserve">100 g</w:t>
      </w:r>
    </w:p>
    <w:p w:rsidR="00000000" w:rsidDel="00000000" w:rsidP="00000000" w:rsidRDefault="00000000" w:rsidRPr="00000000" w14:paraId="0000000C">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Pallad 4N</w:t>
        <w:tab/>
        <w:tab/>
        <w:tab/>
        <w:tab/>
        <w:tab/>
        <w:t xml:space="preserve">20 g</w:t>
      </w:r>
    </w:p>
    <w:p w:rsidR="00000000" w:rsidDel="00000000" w:rsidP="00000000" w:rsidRDefault="00000000" w:rsidRPr="00000000" w14:paraId="0000000D">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Złoto-German 4N</w:t>
        <w:tab/>
        <w:tab/>
        <w:tab/>
        <w:tab/>
        <w:t xml:space="preserve">100 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których szczegółowe opisy znajdują się w załączniku nr 1 do niniejszego Zapytania Ofertowego.</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dopuszcza możliwość składania ofert częściowych. Wykonawca może złożyć ofertę w części lub w częściach opisanych w załącznik</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nr 1 </w:t>
      </w:r>
      <w:r w:rsidDel="00000000" w:rsidR="00000000" w:rsidRPr="00000000">
        <w:rPr>
          <w:rFonts w:ascii="Times New Roman" w:cs="Times New Roman" w:eastAsia="Times New Roman" w:hAnsi="Times New Roman"/>
          <w:color w:val="000000"/>
          <w:rtl w:val="0"/>
        </w:rPr>
        <w:t xml:space="preserve">niniejszego Zapytania Ofertowego.</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bookmarkStart w:colFirst="0" w:colLast="0" w:name="_heading=h.3znysh7" w:id="3"/>
      <w:bookmarkEnd w:id="3"/>
      <w:r w:rsidDel="00000000" w:rsidR="00000000" w:rsidRPr="00000000">
        <w:rPr>
          <w:rFonts w:ascii="Times New Roman" w:cs="Times New Roman" w:eastAsia="Times New Roman" w:hAnsi="Times New Roman"/>
          <w:b w:val="1"/>
          <w:rtl w:val="0"/>
        </w:rPr>
        <w:t xml:space="preserve">Najszybciej jak to możliwe, nie później niż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color w:val="000000"/>
          <w:rtl w:val="0"/>
        </w:rPr>
        <w:t xml:space="preserve"> tygodni od dnia złożenia zamówienia.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Termin realizacji zamówienia obejmuje gotowość do przekazania towaru Zamawiającemu, odpowiadającego zastosowaniu zasady </w:t>
      </w:r>
      <w:r w:rsidDel="00000000" w:rsidR="00000000" w:rsidRPr="00000000">
        <w:rPr>
          <w:rFonts w:ascii="Times New Roman" w:cs="Times New Roman" w:eastAsia="Times New Roman" w:hAnsi="Times New Roman"/>
          <w:b w:val="1"/>
          <w:rtl w:val="0"/>
        </w:rPr>
        <w:t xml:space="preserve">DAP</w:t>
      </w:r>
      <w:r w:rsidDel="00000000" w:rsidR="00000000" w:rsidRPr="00000000">
        <w:rPr>
          <w:rFonts w:ascii="Times New Roman" w:cs="Times New Roman" w:eastAsia="Times New Roman" w:hAnsi="Times New Roman"/>
          <w:b w:val="1"/>
          <w:color w:val="000000"/>
          <w:rtl w:val="0"/>
        </w:rPr>
        <w:t xml:space="preserve"> Incoterms2020.</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Zgodnie z zasadą DAP (delivery at place), za moment dostarczenia towaru uznaje się dostarczenie do miejsca – siedziby Zamawiającego</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Zamawiający dopuszcza możliwość zastosowania innej zasady Incoterms2020 (m.in. FCA, DAP etc.)</w:t>
      </w:r>
      <w:r w:rsidDel="00000000" w:rsidR="00000000" w:rsidRPr="00000000">
        <w:rPr>
          <w:rFonts w:ascii="Times New Roman" w:cs="Times New Roman" w:eastAsia="Times New Roman" w:hAnsi="Times New Roman"/>
          <w:b w:val="1"/>
          <w:rtl w:val="0"/>
        </w:rPr>
        <w:t xml:space="preserve">, pod warunkiem dotrzymania terminu, o którym mowa powyżej.</w:t>
      </w: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4"/>
      <w:bookmarkEnd w:id="4"/>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color w:val="000000"/>
          <w:rtl w:val="0"/>
        </w:rPr>
        <w:t xml:space="preserve">załączniku 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718"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 wzór formularza ofertowego) przedłożyli dokument </w:t>
      </w:r>
      <w:r w:rsidDel="00000000" w:rsidR="00000000" w:rsidRPr="00000000">
        <w:rPr>
          <w:rFonts w:ascii="Times New Roman" w:cs="Times New Roman" w:eastAsia="Times New Roman" w:hAnsi="Times New Roman"/>
          <w:b w:val="1"/>
          <w:color w:val="000000"/>
          <w:u w:val="single"/>
          <w:rtl w:val="0"/>
        </w:rPr>
        <w:t xml:space="preserve">wystawiony przez organ rejestrowy wskazujący osoby uprawnione do reprezentowania Wykonawcy;</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5"/>
      <w:bookmarkEnd w:id="5"/>
      <w:r w:rsidDel="00000000" w:rsidR="00000000" w:rsidRPr="00000000">
        <w:rPr>
          <w:rFonts w:ascii="Times New Roman" w:cs="Times New Roman" w:eastAsia="Times New Roman" w:hAnsi="Times New Roman"/>
          <w:color w:val="00000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formularz oferty, pełnomocnictwo oraz opis oferty należy złożyć w języku polskim lub angielskim zgodnie z załącznikiem nr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wyciąg z rejestru dopuszcza się w jednym z  oficjalnych języków europejskich;</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color w:val="000000"/>
          <w:u w:val="single"/>
          <w:rtl w:val="0"/>
        </w:rPr>
        <w:t xml:space="preserve">Pełnomocnictwo należy złożyć na formularzu załączonym do przedmiotowego zapytania – Załącznik numer </w:t>
      </w:r>
      <w:r w:rsidDel="00000000" w:rsidR="00000000" w:rsidRPr="00000000">
        <w:rPr>
          <w:rFonts w:ascii="Times New Roman" w:cs="Times New Roman" w:eastAsia="Times New Roman" w:hAnsi="Times New Roman"/>
          <w:b w:val="1"/>
          <w:u w:val="single"/>
          <w:rtl w:val="0"/>
        </w:rPr>
        <w:t xml:space="preserve">3</w:t>
      </w:r>
      <w:r w:rsidDel="00000000" w:rsidR="00000000" w:rsidRPr="00000000">
        <w:rPr>
          <w:rFonts w:ascii="Times New Roman" w:cs="Times New Roman" w:eastAsia="Times New Roman" w:hAnsi="Times New Roman"/>
          <w:b w:val="1"/>
          <w:color w:val="000000"/>
          <w:u w:val="single"/>
          <w:rtl w:val="0"/>
        </w:rPr>
        <w:t xml:space="preserve">. W przypadku złożenia dokumentów rejestracyjnych firmy w języku innym niż jeden z urzędowych języków europejskich Zamawiający </w:t>
      </w:r>
      <w:r w:rsidDel="00000000" w:rsidR="00000000" w:rsidRPr="00000000">
        <w:rPr>
          <w:rFonts w:ascii="Times New Roman" w:cs="Times New Roman" w:eastAsia="Times New Roman" w:hAnsi="Times New Roman"/>
          <w:b w:val="1"/>
          <w:u w:val="single"/>
          <w:rtl w:val="0"/>
        </w:rPr>
        <w:t xml:space="preserve">wezwie </w:t>
      </w:r>
      <w:r w:rsidDel="00000000" w:rsidR="00000000" w:rsidRPr="00000000">
        <w:rPr>
          <w:rFonts w:ascii="Times New Roman" w:cs="Times New Roman" w:eastAsia="Times New Roman" w:hAnsi="Times New Roman"/>
          <w:b w:val="1"/>
          <w:color w:val="000000"/>
          <w:u w:val="single"/>
          <w:rtl w:val="0"/>
        </w:rPr>
        <w:t xml:space="preserve">Wykonawc</w:t>
      </w:r>
      <w:r w:rsidDel="00000000" w:rsidR="00000000" w:rsidRPr="00000000">
        <w:rPr>
          <w:rFonts w:ascii="Times New Roman" w:cs="Times New Roman" w:eastAsia="Times New Roman" w:hAnsi="Times New Roman"/>
          <w:b w:val="1"/>
          <w:u w:val="single"/>
          <w:rtl w:val="0"/>
        </w:rPr>
        <w:t xml:space="preserve">ę</w:t>
      </w:r>
      <w:r w:rsidDel="00000000" w:rsidR="00000000" w:rsidRPr="00000000">
        <w:rPr>
          <w:rFonts w:ascii="Times New Roman" w:cs="Times New Roman" w:eastAsia="Times New Roman" w:hAnsi="Times New Roman"/>
          <w:b w:val="1"/>
          <w:color w:val="000000"/>
          <w:u w:val="single"/>
          <w:rtl w:val="0"/>
        </w:rPr>
        <w:t xml:space="preserve"> do złożenia oryginału </w:t>
      </w:r>
      <w:r w:rsidDel="00000000" w:rsidR="00000000" w:rsidRPr="00000000">
        <w:rPr>
          <w:rFonts w:ascii="Times New Roman" w:cs="Times New Roman" w:eastAsia="Times New Roman" w:hAnsi="Times New Roman"/>
          <w:b w:val="1"/>
          <w:u w:val="single"/>
          <w:rtl w:val="0"/>
        </w:rPr>
        <w:t xml:space="preserve">wraz z tłumaczeniem na jeden z powyższych</w:t>
      </w:r>
      <w:r w:rsidDel="00000000" w:rsidR="00000000" w:rsidRPr="00000000">
        <w:rPr>
          <w:rFonts w:ascii="Times New Roman" w:cs="Times New Roman" w:eastAsia="Times New Roman" w:hAnsi="Times New Roman"/>
          <w:b w:val="1"/>
          <w:color w:val="000000"/>
          <w:u w:val="single"/>
          <w:rtl w:val="0"/>
        </w:rPr>
        <w:t xml:space="preserve">.</w:t>
      </w:r>
      <w:r w:rsidDel="00000000" w:rsidR="00000000" w:rsidRPr="00000000">
        <w:rPr>
          <w:rtl w:val="0"/>
        </w:rPr>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2">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dy6vkm" w:id="6"/>
      <w:bookmarkEnd w:id="6"/>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w:t>
      </w:r>
    </w:p>
    <w:p w:rsidR="00000000" w:rsidDel="00000000" w:rsidP="00000000" w:rsidRDefault="00000000" w:rsidRPr="00000000" w14:paraId="0000003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Każda część zamówienia będzie oceniana osobno, według wskazanego wyżej kryterium.</w:t>
      </w:r>
    </w:p>
    <w:p w:rsidR="00000000" w:rsidDel="00000000" w:rsidP="00000000" w:rsidRDefault="00000000" w:rsidRPr="00000000" w14:paraId="0000003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w danej części zamówienia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zachowuje prawo wyboru oferty w jedynie tej części zamówienia, w której oferta Wykonawcy uzyskała największą liczbę punktów. </w:t>
      </w:r>
    </w:p>
    <w:p w:rsidR="00000000" w:rsidDel="00000000" w:rsidP="00000000" w:rsidRDefault="00000000" w:rsidRPr="00000000" w14:paraId="0000003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bookmarkStart w:colFirst="0" w:colLast="0" w:name="_heading=h.4d34og8" w:id="7"/>
      <w:bookmarkEnd w:id="7"/>
      <w:r w:rsidDel="00000000" w:rsidR="00000000" w:rsidRPr="00000000">
        <w:rPr>
          <w:rFonts w:ascii="Times New Roman" w:cs="Times New Roman" w:eastAsia="Times New Roman" w:hAnsi="Times New Roman"/>
          <w:b w:val="1"/>
          <w:color w:val="000000"/>
          <w:shd w:fill="b7b7b7" w:val="clear"/>
          <w:rtl w:val="0"/>
        </w:rPr>
        <w:t xml:space="preserve">Termin składania ofert</w:t>
      </w:r>
    </w:p>
    <w:p w:rsidR="00000000" w:rsidDel="00000000" w:rsidP="00000000" w:rsidRDefault="00000000" w:rsidRPr="00000000" w14:paraId="0000003E">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b w:val="1"/>
          <w:color w:val="000000"/>
          <w:rtl w:val="0"/>
        </w:rPr>
        <w:t xml:space="preserve"> sierpnia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r w:rsidDel="00000000" w:rsidR="00000000" w:rsidRPr="00000000">
        <w:rPr>
          <w:rtl w:val="0"/>
        </w:rPr>
      </w:r>
    </w:p>
    <w:p w:rsidR="00000000" w:rsidDel="00000000" w:rsidP="00000000" w:rsidRDefault="00000000" w:rsidRPr="00000000" w14:paraId="0000003F">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Sposób obliczenia ceny i przygotowania oferty</w:t>
      </w:r>
    </w:p>
    <w:p w:rsidR="00000000" w:rsidDel="00000000" w:rsidP="00000000" w:rsidRDefault="00000000" w:rsidRPr="00000000" w14:paraId="00000042">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44">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45">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6">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7">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8">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Wzór formularza ofertowego stanowi załącznik </w:t>
      </w:r>
      <w:r w:rsidDel="00000000" w:rsidR="00000000" w:rsidRPr="00000000">
        <w:rPr>
          <w:rFonts w:ascii="Times New Roman" w:cs="Times New Roman" w:eastAsia="Times New Roman" w:hAnsi="Times New Roman"/>
          <w:b w:val="1"/>
          <w:color w:val="000000"/>
          <w:u w:val="single"/>
          <w:rtl w:val="0"/>
        </w:rPr>
        <w:t xml:space="preserve">nr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w:t>
      </w:r>
      <w:r w:rsidDel="00000000" w:rsidR="00000000" w:rsidRPr="00000000">
        <w:rPr>
          <w:rFonts w:ascii="Times New Roman" w:cs="Times New Roman" w:eastAsia="Times New Roman" w:hAnsi="Times New Roman"/>
          <w:color w:val="00000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wystawiony nie wcześniej niż 3 miesiące przed upływem składania ofert -  pochodzący z organu rejestrowego wskazujący osoby uprawnione do reprezentowania Wykonawcy; pełnomocnictwo, jeżeli oferta jest składana przez pełnomocnika; opis oferty.</w:t>
      </w:r>
    </w:p>
    <w:p w:rsidR="00000000" w:rsidDel="00000000" w:rsidP="00000000" w:rsidRDefault="00000000" w:rsidRPr="00000000" w14:paraId="0000004A">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shd w:fill="b7b7b7" w:val="clear"/>
        </w:rPr>
      </w:pPr>
      <w:r w:rsidDel="00000000" w:rsidR="00000000" w:rsidRPr="00000000">
        <w:rPr>
          <w:rtl w:val="0"/>
        </w:rPr>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Badanie ofert</w:t>
      </w:r>
    </w:p>
    <w:p w:rsidR="00000000" w:rsidDel="00000000" w:rsidP="00000000" w:rsidRDefault="00000000" w:rsidRPr="00000000" w14:paraId="0000004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50">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braków w nadesłanej dokumentacji -</w:t>
        <w:br w:type="textWrapping"/>
        <w:t xml:space="preserve">w wyznaczonym terminie;</w:t>
      </w:r>
    </w:p>
    <w:p w:rsidR="00000000" w:rsidDel="00000000" w:rsidP="00000000" w:rsidRDefault="00000000" w:rsidRPr="00000000" w14:paraId="0000005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w postępowaniu </w:t>
        <w:br w:type="textWrapping"/>
        <w:t xml:space="preserve">o udzielenie Zamówienia. </w:t>
      </w:r>
    </w:p>
    <w:p w:rsidR="00000000" w:rsidDel="00000000" w:rsidP="00000000" w:rsidRDefault="00000000" w:rsidRPr="00000000" w14:paraId="00000054">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Osoby kontaktowe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0j0zll" w:id="8"/>
      <w:bookmarkEnd w:id="8"/>
      <w:r w:rsidDel="00000000" w:rsidR="00000000" w:rsidRPr="00000000">
        <w:rPr>
          <w:rFonts w:ascii="Times New Roman" w:cs="Times New Roman" w:eastAsia="Times New Roman" w:hAnsi="Times New Roman"/>
          <w:color w:val="000000"/>
          <w:rtl w:val="0"/>
        </w:rPr>
        <w:t xml:space="preserve">W sprawach proceduralnych: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200"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Piotr Nyga, e-mail: pnyga</w:t>
      </w:r>
      <w:r w:rsidDel="00000000" w:rsidR="00000000" w:rsidRPr="00000000">
        <w:rPr>
          <w:rFonts w:ascii="Times New Roman" w:cs="Times New Roman" w:eastAsia="Times New Roman" w:hAnsi="Times New Roman"/>
          <w:rtl w:val="0"/>
        </w:rPr>
        <w:t xml:space="preserve">@vigo.com.pl. </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Informacja o wyborze najkorzystniejszej oferty</w:t>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bookmarkStart w:colFirst="0" w:colLast="0" w:name="_heading=h.1t3h5sf" w:id="9"/>
      <w:bookmarkEnd w:id="9"/>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Istotne warunki zamówienia</w:t>
      </w:r>
    </w:p>
    <w:p w:rsidR="00000000" w:rsidDel="00000000" w:rsidP="00000000" w:rsidRDefault="00000000" w:rsidRPr="00000000" w14:paraId="00000065">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do siedziby Zamawiającego. </w:t>
      </w:r>
    </w:p>
    <w:p w:rsidR="00000000" w:rsidDel="00000000" w:rsidP="00000000" w:rsidRDefault="00000000" w:rsidRPr="00000000" w14:paraId="00000066">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Towar musi być zgodny ze specyfikacją zawartą w załącznikach do niniejszego Zapytania Ofertowego.</w:t>
      </w:r>
    </w:p>
    <w:p w:rsidR="00000000" w:rsidDel="00000000" w:rsidP="00000000" w:rsidRDefault="00000000" w:rsidRPr="00000000" w14:paraId="0000006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9">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6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opóźnienia płatności za dostarczony towar z winy Zamawiającego, zapłaci on Wykonawcy na pisemne żądanie karę umowną w wysokości 0,1% wartości zamówienia netto za każdy dzień opóźnienia– nie więcej niż 5 %.</w:t>
      </w:r>
    </w:p>
    <w:p w:rsidR="00000000" w:rsidDel="00000000" w:rsidP="00000000" w:rsidRDefault="00000000" w:rsidRPr="00000000" w14:paraId="0000006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na pisemne żądanie  karę umowną w wysokości 0,1% wartości zamówienia netto za każdy dzień opóźnienia– nie więcej niż 5 %. </w:t>
      </w:r>
    </w:p>
    <w:p w:rsidR="00000000" w:rsidDel="00000000" w:rsidP="00000000" w:rsidRDefault="00000000" w:rsidRPr="00000000" w14:paraId="0000006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B">
      <w:pPr>
        <w:numPr>
          <w:ilvl w:val="0"/>
          <w:numId w:val="13"/>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t>
      </w:r>
      <w:r w:rsidDel="00000000" w:rsidR="00000000" w:rsidRPr="00000000">
        <w:rPr>
          <w:rFonts w:ascii="Times New Roman" w:cs="Times New Roman" w:eastAsia="Times New Roman" w:hAnsi="Times New Roman"/>
          <w:rtl w:val="0"/>
        </w:rPr>
        <w:t xml:space="preserve">wybierze</w:t>
      </w:r>
      <w:r w:rsidDel="00000000" w:rsidR="00000000" w:rsidRPr="00000000">
        <w:rPr>
          <w:rFonts w:ascii="Times New Roman" w:cs="Times New Roman" w:eastAsia="Times New Roman" w:hAnsi="Times New Roman"/>
          <w:color w:val="000000"/>
          <w:rtl w:val="0"/>
        </w:rPr>
        <w:t xml:space="preserve"> ofertę najkorzystniejszą spośród pozostałych ofert.</w:t>
      </w:r>
    </w:p>
    <w:p w:rsidR="00000000" w:rsidDel="00000000" w:rsidP="00000000" w:rsidRDefault="00000000" w:rsidRPr="00000000" w14:paraId="0000006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Klauzula informacyjna RODO</w:t>
      </w:r>
    </w:p>
    <w:p w:rsidR="00000000" w:rsidDel="00000000" w:rsidP="00000000" w:rsidRDefault="00000000" w:rsidRPr="00000000" w14:paraId="0000006D">
      <w:pPr>
        <w:numPr>
          <w:ilvl w:val="3"/>
          <w:numId w:val="4"/>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E">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administratorem Pani/Pana danych osobowych jest VIGO System S.A. z siedzibą w Ożarowie Mazowieckim;</w:t>
      </w:r>
    </w:p>
    <w:p w:rsidR="00000000" w:rsidDel="00000000" w:rsidP="00000000" w:rsidRDefault="00000000" w:rsidRPr="00000000" w14:paraId="0000006F">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inspektorem ochrony danych osobowych jest Pani Sylwia Wiśniewska-Fillipiak; adres email: ado@vigo.com.pl;</w:t>
      </w:r>
    </w:p>
    <w:p w:rsidR="00000000" w:rsidDel="00000000" w:rsidP="00000000" w:rsidRDefault="00000000" w:rsidRPr="00000000" w14:paraId="00000070">
      <w:pPr>
        <w:numPr>
          <w:ilvl w:val="3"/>
          <w:numId w:val="4"/>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71">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odbiorcami Pani/Pana danych osobowych będą osoby lub podmioty, którym udostępniona zostanie dokumentacja postępowania w oparciu o §12 Umowy o</w:t>
      </w:r>
    </w:p>
    <w:p w:rsidR="00000000" w:rsidDel="00000000" w:rsidP="00000000" w:rsidRDefault="00000000" w:rsidRPr="00000000" w14:paraId="00000072">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projektu, dalej „Umowa”;</w:t>
      </w:r>
    </w:p>
    <w:p w:rsidR="00000000" w:rsidDel="00000000" w:rsidP="00000000" w:rsidRDefault="00000000" w:rsidRPr="00000000" w14:paraId="00000073">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Pani/Pana dane osobowe będą przechowywane, przez okres po zakończeniu realizacji projektu niezbędny do jego rozliczenia a także do złożenia wszelkich sprawozdań procedur kontrolnych przewidzianych przepisami prawa a także umową o dofinansowanie.;</w:t>
      </w:r>
    </w:p>
    <w:p w:rsidR="00000000" w:rsidDel="00000000" w:rsidP="00000000" w:rsidRDefault="00000000" w:rsidRPr="00000000" w14:paraId="00000074">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 odniesieniu do Pani/Pana danych osobowych decyzje nie będą podejmowane w sposób zautomatyzowany, stosowanie do art. 22 RODO;</w:t>
      </w:r>
    </w:p>
    <w:p w:rsidR="00000000" w:rsidDel="00000000" w:rsidP="00000000" w:rsidRDefault="00000000" w:rsidRPr="00000000" w14:paraId="00000075">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posiada Pani/Pan:</w:t>
      </w:r>
    </w:p>
    <w:p w:rsidR="00000000" w:rsidDel="00000000" w:rsidP="00000000" w:rsidRDefault="00000000" w:rsidRPr="00000000" w14:paraId="00000076">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15 RODO prawo dostępu do danych osobowych Pani/Pana dotyczących;</w:t>
      </w:r>
    </w:p>
    <w:p w:rsidR="00000000" w:rsidDel="00000000" w:rsidP="00000000" w:rsidRDefault="00000000" w:rsidRPr="00000000" w14:paraId="00000077">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16 RODO prawo do sprostowania Pani/Pana danych osobowych;</w:t>
      </w:r>
    </w:p>
    <w:p w:rsidR="00000000" w:rsidDel="00000000" w:rsidP="00000000" w:rsidRDefault="00000000" w:rsidRPr="00000000" w14:paraId="00000078">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9">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A">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nie przysługuje Pani/Panu:</w:t>
      </w:r>
    </w:p>
    <w:p w:rsidR="00000000" w:rsidDel="00000000" w:rsidP="00000000" w:rsidRDefault="00000000" w:rsidRPr="00000000" w14:paraId="0000007B">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 związku z art. 17 ust. 3 lit. b, d lub e RODO prawo do usunięcia danych osobowych;</w:t>
      </w:r>
    </w:p>
    <w:p w:rsidR="00000000" w:rsidDel="00000000" w:rsidP="00000000" w:rsidRDefault="00000000" w:rsidRPr="00000000" w14:paraId="0000007C">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przenoszenia danych osobowych, o którym mowa w art. 20 RODO;</w:t>
      </w:r>
    </w:p>
    <w:p w:rsidR="00000000" w:rsidDel="00000000" w:rsidP="00000000" w:rsidRDefault="00000000" w:rsidRPr="00000000" w14:paraId="0000007D">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21 RODO prawo sprzeciwu, wobec przetwarzania danych osobowych, gdyż podstawą prawną przetwarzania Pani/Pana danych osobowych jest art. 6 ust. 1 lit. c RODO.</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ind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Postanowienia końcowe</w:t>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2 – </w:t>
      </w:r>
      <w:r w:rsidDel="00000000" w:rsidR="00000000" w:rsidRPr="00000000">
        <w:rPr>
          <w:rFonts w:ascii="Times New Roman" w:cs="Times New Roman" w:eastAsia="Times New Roman" w:hAnsi="Times New Roman"/>
          <w:rtl w:val="0"/>
        </w:rPr>
        <w:t xml:space="preserve">wzór formularza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Załącznik nr 3 – </w:t>
      </w:r>
      <w:r w:rsidDel="00000000" w:rsidR="00000000" w:rsidRPr="00000000">
        <w:rPr>
          <w:rFonts w:ascii="Times New Roman" w:cs="Times New Roman" w:eastAsia="Times New Roman" w:hAnsi="Times New Roman"/>
          <w:rtl w:val="0"/>
        </w:rPr>
        <w:t xml:space="preserve">wzór pełnomocnictwa</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9"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0"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19061</wp:posOffset>
          </wp:positionH>
          <wp:positionV relativeFrom="paragraph">
            <wp:posOffset>19061</wp:posOffset>
          </wp:positionV>
          <wp:extent cx="5399730" cy="622300"/>
          <wp:effectExtent b="0" l="0" r="0" t="0"/>
          <wp:wrapSquare wrapText="bothSides" distB="114300" distT="114300" distL="114300" distR="114300"/>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rFonts w:ascii="Calibri" w:cs="Calibri" w:eastAsia="Calibri" w:hAnsi="Calibri"/>
        <w:b w:val="0"/>
        <w:sz w:val="18"/>
        <w:szCs w:val="18"/>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paragraph" w:styleId="Akapitzlist">
    <w:name w:val="List Paragraph"/>
    <w:basedOn w:val="Normalny"/>
    <w:uiPriority w:val="34"/>
    <w:qFormat w:val="1"/>
    <w:rsid w:val="005033F6"/>
    <w:pPr>
      <w:ind w:left="720"/>
      <w:contextualSpacing w:val="1"/>
    </w:p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Tekstprzypisukocowego">
    <w:name w:val="endnote text"/>
    <w:basedOn w:val="Normalny"/>
    <w:link w:val="TekstprzypisukocowegoZnak"/>
    <w:uiPriority w:val="99"/>
    <w:semiHidden w:val="1"/>
    <w:unhideWhenUsed w:val="1"/>
    <w:rsid w:val="00791234"/>
    <w:rPr>
      <w:sz w:val="20"/>
      <w:szCs w:val="20"/>
    </w:rPr>
  </w:style>
  <w:style w:type="character" w:styleId="TekstprzypisukocowegoZnak" w:customStyle="1">
    <w:name w:val="Tekst przypisu końcowego Znak"/>
    <w:basedOn w:val="Domylnaczcionkaakapitu"/>
    <w:link w:val="Tekstprzypisukocowego"/>
    <w:uiPriority w:val="99"/>
    <w:semiHidden w:val="1"/>
    <w:rsid w:val="00791234"/>
    <w:rPr>
      <w:sz w:val="20"/>
      <w:szCs w:val="20"/>
    </w:rPr>
  </w:style>
  <w:style w:type="character" w:styleId="Odwoanieprzypisukocowego">
    <w:name w:val="endnote reference"/>
    <w:basedOn w:val="Domylnaczcionkaakapitu"/>
    <w:uiPriority w:val="99"/>
    <w:semiHidden w:val="1"/>
    <w:unhideWhenUsed w:val="1"/>
    <w:rsid w:val="00791234"/>
    <w:rPr>
      <w:vertAlign w:val="superscript"/>
    </w:rPr>
  </w:style>
  <w:style w:type="character" w:styleId="Hipercze">
    <w:name w:val="Hyperlink"/>
    <w:basedOn w:val="Domylnaczcionkaakapitu"/>
    <w:uiPriority w:val="99"/>
    <w:unhideWhenUsed w:val="1"/>
    <w:rsid w:val="002E6B95"/>
    <w:rPr>
      <w:color w:val="0000ff" w:themeColor="hyperlink"/>
      <w:u w:val="single"/>
    </w:rPr>
  </w:style>
  <w:style w:type="character" w:styleId="Nierozpoznanawzmianka">
    <w:name w:val="Unresolved Mention"/>
    <w:basedOn w:val="Domylnaczcionkaakapitu"/>
    <w:uiPriority w:val="99"/>
    <w:semiHidden w:val="1"/>
    <w:unhideWhenUsed w:val="1"/>
    <w:rsid w:val="002E6B95"/>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voices@vigo.com.pl"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https://vigo.com.pl/o-nas/zamowi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q/MNgo76ZpLJA3g5GB4hBPkSQ==">AMUW2mXKzrcy8lH87TCpK6PJrKM20fn3UTJ8rnwKHN6TzNPZ9Li2Mq0beidDgzFBxm2e7bN6F2nrQ/W8E/3XrA7aF23GiaPPffN0+1sn4l3UXjmpB4TbDUbghYUKMNwk6KWjaI7+KbVMEkxSTMZ4JEGNleN47FLLNUdyY92VW41Lj/Gpz7IGog873V/52aMYAbmvWImZW7oYcaAbMLLCUdB64xZaJUokbxMFnkVs0uviLowzqCGySXBv/2P1+ZV+ItEx4ZVOMPu5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2021-07-30T11:47:00Z</dcterms:created>
  <dc:creator>Dominik Nowak</dc:creator>
</cp:coreProperties>
</file>