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360"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13 maja 2021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left="1" w:hanging="3"/>
        <w:jc w:val="center"/>
        <w:rPr>
          <w:rFonts w:ascii="Times New Roman" w:cs="Times New Roman" w:eastAsia="Times New Roman" w:hAnsi="Times New Roman"/>
          <w:b w:val="1"/>
          <w:color w:val="000000"/>
          <w:sz w:val="28"/>
          <w:szCs w:val="28"/>
        </w:rPr>
      </w:pPr>
      <w:bookmarkStart w:colFirst="0" w:colLast="0" w:name="_heading=h.6xit5qlt54j3" w:id="0"/>
      <w:bookmarkEnd w:id="0"/>
      <w:r w:rsidDel="00000000" w:rsidR="00000000" w:rsidRPr="00000000">
        <w:rPr>
          <w:rFonts w:ascii="Times New Roman" w:cs="Times New Roman" w:eastAsia="Times New Roman" w:hAnsi="Times New Roman"/>
          <w:b w:val="1"/>
          <w:color w:val="000000"/>
          <w:sz w:val="28"/>
          <w:szCs w:val="28"/>
          <w:rtl w:val="0"/>
        </w:rPr>
        <w:t xml:space="preserve">Zapytanie Ofertowe nr PMR-2_21 z dnia </w:t>
      </w:r>
      <w:r w:rsidDel="00000000" w:rsidR="00000000" w:rsidRPr="00000000">
        <w:rPr>
          <w:rFonts w:ascii="Times New Roman" w:cs="Times New Roman" w:eastAsia="Times New Roman" w:hAnsi="Times New Roman"/>
          <w:b w:val="1"/>
          <w:sz w:val="28"/>
          <w:szCs w:val="28"/>
          <w:rtl w:val="0"/>
        </w:rPr>
        <w:t xml:space="preserve">13 maja 2021</w:t>
      </w:r>
      <w:r w:rsidDel="00000000" w:rsidR="00000000" w:rsidRPr="00000000">
        <w:rPr>
          <w:rFonts w:ascii="Times New Roman" w:cs="Times New Roman" w:eastAsia="Times New Roman" w:hAnsi="Times New Roman"/>
          <w:b w:val="1"/>
          <w:color w:val="000000"/>
          <w:sz w:val="28"/>
          <w:szCs w:val="28"/>
          <w:rtl w:val="0"/>
        </w:rPr>
        <w:t xml:space="preserve"> r.</w:t>
      </w:r>
    </w:p>
    <w:p w:rsidR="00000000" w:rsidDel="00000000" w:rsidP="00000000" w:rsidRDefault="00000000" w:rsidRPr="00000000" w14:paraId="00000003">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projektu pod nazwą „Opracowanie wysokotemperaturowych detektorów średniej podczerwieni wykorzystujących wzmocnienie plazmonowe (akronim PEMIR)” wybranego w ramach 4. Konkursu Programu Współpraca Polska – Turcja współfinansowanego przez Narodowe Centrum Badań i Rozwoju.</w:t>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dy6vkm"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„Opracowanie wysokotemperaturowych detektorów średniej podczerwieni wykorzystujących wzmocnienie plazmonowe (akronim PEMIR)” wybranego w ramach 4. Konkursu Programu Współpraca Polska – Turcja współfinansowanego przez Narodowe Centrum Badań i Rozwoju. </w:t>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 półprzewodnikowych płytek podłożowych, </w:t>
      </w:r>
      <w:r w:rsidDel="00000000" w:rsidR="00000000" w:rsidRPr="00000000">
        <w:rPr>
          <w:rFonts w:ascii="Times New Roman" w:cs="Times New Roman" w:eastAsia="Times New Roman" w:hAnsi="Times New Roman"/>
          <w:rtl w:val="0"/>
        </w:rPr>
        <w:t xml:space="preserve">których szczegółowy opis znajduje się w załączniku nr 1 do niniejszego Zapytania Ofertowego.</w:t>
      </w:r>
      <w:r w:rsidDel="00000000" w:rsidR="00000000" w:rsidRPr="00000000">
        <w:rPr>
          <w:rtl w:val="0"/>
        </w:rPr>
      </w:r>
    </w:p>
    <w:p w:rsidR="00000000" w:rsidDel="00000000" w:rsidP="00000000" w:rsidRDefault="00000000" w:rsidRPr="00000000" w14:paraId="00000009">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30j0zll" w:id="2"/>
      <w:bookmarkEnd w:id="2"/>
      <w:r w:rsidDel="00000000" w:rsidR="00000000" w:rsidRPr="00000000">
        <w:rPr>
          <w:rFonts w:ascii="Times New Roman" w:cs="Times New Roman" w:eastAsia="Times New Roman" w:hAnsi="Times New Roman"/>
          <w:color w:val="000000"/>
          <w:rtl w:val="0"/>
        </w:rPr>
        <w:t xml:space="preserve">Zamawiający nie dopuszcza możliwości składania ofert częściowych. Podział</w:t>
      </w:r>
      <w:r w:rsidDel="00000000" w:rsidR="00000000" w:rsidRPr="00000000">
        <w:rPr>
          <w:rFonts w:ascii="Times New Roman" w:cs="Times New Roman" w:eastAsia="Times New Roman" w:hAnsi="Times New Roman"/>
          <w:rtl w:val="0"/>
        </w:rPr>
        <w:t xml:space="preserve"> zamówienia na części może powodować rozbieżności w osiąganych parametrach co jest sprzeczne z celem i zakładanymi procesami w ramach projektu i jest technologicznie nieuzasadniony.</w:t>
      </w: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Termin realizacji zamówienia: 8 tygodni</w:t>
      </w:r>
      <w:r w:rsidDel="00000000" w:rsidR="00000000" w:rsidRPr="00000000">
        <w:rPr>
          <w:rFonts w:ascii="Times New Roman" w:cs="Times New Roman" w:eastAsia="Times New Roman" w:hAnsi="Times New Roman"/>
          <w:b w:val="1"/>
          <w:rtl w:val="0"/>
        </w:rPr>
        <w:t xml:space="preserve"> od dnia złożenia zamówienia. Zamawiający wymaga zastosowania zasady dostawy EXW Incoterms 2020. EXW (ex works) tj. za moment dostarczenia towaru uznaje się pozostawienie go do dyspozycji kupującego na terenie wskazanym przez dostawcę (fabryka, zakład itp.).  </w:t>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0E">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zamówienia powinien złożyć podpisaną </w:t>
      </w:r>
      <w:r w:rsidDel="00000000" w:rsidR="00000000" w:rsidRPr="00000000">
        <w:rPr>
          <w:rFonts w:ascii="Times New Roman" w:cs="Times New Roman" w:eastAsia="Times New Roman" w:hAnsi="Times New Roman"/>
          <w:b w:val="1"/>
          <w:color w:val="000000"/>
          <w:rtl w:val="0"/>
        </w:rPr>
        <w:t xml:space="preserve">ofertę – Zamawiający nie przewiduje wzoru formularza oferty, </w:t>
      </w:r>
      <w:r w:rsidDel="00000000" w:rsidR="00000000" w:rsidRPr="00000000">
        <w:rPr>
          <w:rFonts w:ascii="Times New Roman" w:cs="Times New Roman" w:eastAsia="Times New Roman" w:hAnsi="Times New Roman"/>
          <w:b w:val="1"/>
          <w:rtl w:val="0"/>
        </w:rPr>
        <w:t xml:space="preserve">oprócz</w:t>
      </w:r>
      <w:r w:rsidDel="00000000" w:rsidR="00000000" w:rsidRPr="00000000">
        <w:rPr>
          <w:rFonts w:ascii="Times New Roman" w:cs="Times New Roman" w:eastAsia="Times New Roman" w:hAnsi="Times New Roman"/>
          <w:b w:val="1"/>
          <w:color w:val="000000"/>
          <w:rtl w:val="0"/>
        </w:rPr>
        <w:t xml:space="preserve"> wymogów wskazanych w </w:t>
      </w:r>
      <w:r w:rsidDel="00000000" w:rsidR="00000000" w:rsidRPr="00000000">
        <w:rPr>
          <w:rFonts w:ascii="Times New Roman" w:cs="Times New Roman" w:eastAsia="Times New Roman" w:hAnsi="Times New Roman"/>
          <w:b w:val="1"/>
          <w:rtl w:val="0"/>
        </w:rPr>
        <w:t xml:space="preserve">punktach</w:t>
      </w:r>
      <w:r w:rsidDel="00000000" w:rsidR="00000000" w:rsidRPr="00000000">
        <w:rPr>
          <w:rFonts w:ascii="Times New Roman" w:cs="Times New Roman" w:eastAsia="Times New Roman" w:hAnsi="Times New Roman"/>
          <w:b w:val="1"/>
          <w:color w:val="000000"/>
          <w:rtl w:val="0"/>
        </w:rPr>
        <w:t xml:space="preserve"> 6 i 9.</w:t>
      </w:r>
      <w:r w:rsidDel="00000000" w:rsidR="00000000" w:rsidRPr="00000000">
        <w:rPr>
          <w:rtl w:val="0"/>
        </w:rPr>
      </w:r>
    </w:p>
    <w:p w:rsidR="00000000" w:rsidDel="00000000" w:rsidP="00000000" w:rsidRDefault="00000000" w:rsidRPr="00000000" w14:paraId="0000000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umowy/zamówienia, poświadczoną za zgodność z oryginałem kopię umowy regulującej współpracę tych podmiotów;</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przedłożyli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 w zakresie niezbędnym do złożenia oferty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Oferta powinna zawierać wszelkie istotne  informacje stanowiące opis oferowanego przedmiotu. Złożenie oferty w ramach odpowiedzi na ww. zapytanie ofertowe wiąże się wyrażeniem zgody na warunki określone w pkt. 13 zapytania ofertowego. </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musi być podpisana.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Podpisana oferta oraz ewentualnie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rtl w:val="0"/>
        </w:rPr>
        <w:t xml:space="preserve">niewymienione</w:t>
      </w:r>
      <w:r w:rsidDel="00000000" w:rsidR="00000000" w:rsidRPr="00000000">
        <w:rPr>
          <w:rFonts w:ascii="Times New Roman" w:cs="Times New Roman" w:eastAsia="Times New Roman" w:hAnsi="Times New Roman"/>
          <w:color w:val="000000"/>
          <w:rtl w:val="0"/>
        </w:rPr>
        <w:t xml:space="preserve"> w dokumencie rejestracyjnym Wykonawcy, należy do oferty dołączyć stosowne pełnomocnictwo uprawniające do </w:t>
      </w:r>
      <w:r w:rsidDel="00000000" w:rsidR="00000000" w:rsidRPr="00000000">
        <w:rPr>
          <w:rFonts w:ascii="Times New Roman" w:cs="Times New Roman" w:eastAsia="Times New Roman" w:hAnsi="Times New Roman"/>
          <w:b w:val="1"/>
          <w:color w:val="000000"/>
          <w:rtl w:val="0"/>
        </w:rPr>
        <w:t xml:space="preserve">złożenia oferty i potwierdzenia zamówienia</w:t>
      </w:r>
      <w:r w:rsidDel="00000000" w:rsidR="00000000" w:rsidRPr="00000000">
        <w:rPr>
          <w:rFonts w:ascii="Times New Roman" w:cs="Times New Roman" w:eastAsia="Times New Roman" w:hAnsi="Times New Roman"/>
          <w:color w:val="000000"/>
          <w:rtl w:val="0"/>
        </w:rPr>
        <w:t xml:space="preserve">;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1D">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języku polskim lub angielskim, wyciąg z rejestru lub pełnomocnictwo dopuszcza się w jednym urzędowych języków europejskich; w przypadku dokumentów w innym języku Zamawiający wymaga złożenia dokumentu wraz z tłumaczeniem na jeden z języków urzędowych europejskich. </w:t>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1F">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0">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3"/>
      <w:bookmarkEnd w:id="3"/>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bookmarkStart w:colFirst="0" w:colLast="0" w:name="_heading=h.gjdgxs" w:id="4"/>
      <w:bookmarkEnd w:id="4"/>
      <w:r w:rsidDel="00000000" w:rsidR="00000000" w:rsidRPr="00000000">
        <w:rPr>
          <w:rFonts w:ascii="Times New Roman" w:cs="Times New Roman" w:eastAsia="Times New Roman" w:hAnsi="Times New Roman"/>
          <w:b w:val="1"/>
          <w:color w:val="000000"/>
          <w:highlight w:val="lightGray"/>
          <w:rtl w:val="0"/>
        </w:rPr>
        <w:t xml:space="preserve">Termin składania ofert</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21 maja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60 dni. Bieg terminu związania ofertą rozpoczyna się wraz z upływem terminu składania ofert.</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2E">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zakresie danej części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w:t>
      </w:r>
    </w:p>
    <w:p w:rsidR="00000000" w:rsidDel="00000000" w:rsidP="00000000" w:rsidRDefault="00000000" w:rsidRPr="00000000" w14:paraId="00000030">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1">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Oferta powinna zawierać wszelkie istotne  informacje stanowiące opis oferowanego przedmiotu.</w:t>
      </w:r>
    </w:p>
    <w:p w:rsidR="00000000" w:rsidDel="00000000" w:rsidP="00000000" w:rsidRDefault="00000000" w:rsidRPr="00000000" w14:paraId="00000032">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Oferta powinna zawierać datę oferty, termin związania ofertą, sposób płatności oraz sposób dostawy.  Oferta powinna być podpisana zgodnie z reprezentacją podmiotu składającego ofertę lub przez pełnomocnika.</w:t>
      </w:r>
    </w:p>
    <w:p w:rsidR="00000000" w:rsidDel="00000000" w:rsidP="00000000" w:rsidRDefault="00000000" w:rsidRPr="00000000" w14:paraId="00000033">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4">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5">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6">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Oferta powinien zawierać następujące załączniki:</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odpis z KRS Wykonawcy / Odpis z CEIDG Wykonawcy / inny dokument rejestrowy właściwy dla Wykonawcy wskazujący osoby uprawnione do reprezentowania Wykonawcy wystawiony nie wcześniej niż na 3 miesiące przed terminem składania ofert; pełnomocnictwo, jeżeli oferta jest składana przez pełnomocnika; </w:t>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Badanie ofert</w:t>
      </w:r>
      <w:r w:rsidDel="00000000" w:rsidR="00000000" w:rsidRPr="00000000">
        <w:rPr>
          <w:rtl w:val="0"/>
        </w:rPr>
      </w:r>
    </w:p>
    <w:p w:rsidR="00000000" w:rsidDel="00000000" w:rsidP="00000000" w:rsidRDefault="00000000" w:rsidRPr="00000000" w14:paraId="0000003A">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w:t>
      </w:r>
    </w:p>
    <w:p w:rsidR="00000000" w:rsidDel="00000000" w:rsidP="00000000" w:rsidRDefault="00000000" w:rsidRPr="00000000" w14:paraId="0000003B">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 w wyznaczonym terminie;</w:t>
      </w:r>
    </w:p>
    <w:p w:rsidR="00000000" w:rsidDel="00000000" w:rsidP="00000000" w:rsidRDefault="00000000" w:rsidRPr="00000000" w14:paraId="0000003E">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0">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powiązanego z Zamawiającym w sposób określony w pkt. 5. </w:t>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46">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47">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48">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Otwarcie ofert nastąpi w dniu następującym po dniu składania ofert. </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Osoby kontaktowe</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Dominik Nowak, e-mail </w:t>
      </w:r>
      <w:hyperlink r:id="rId7">
        <w:r w:rsidDel="00000000" w:rsidR="00000000" w:rsidRPr="00000000">
          <w:rPr>
            <w:rFonts w:ascii="Times New Roman" w:cs="Times New Roman" w:eastAsia="Times New Roman" w:hAnsi="Times New Roman"/>
            <w:color w:val="0000ff"/>
            <w:u w:val="single"/>
            <w:vertAlign w:val="baselin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Andrzej Janaszek,</w:t>
      </w:r>
      <w:r w:rsidDel="00000000" w:rsidR="00000000" w:rsidRPr="00000000">
        <w:rPr>
          <w:rFonts w:ascii="Times New Roman" w:cs="Times New Roman" w:eastAsia="Times New Roman" w:hAnsi="Times New Roman"/>
          <w:color w:val="000000"/>
          <w:rtl w:val="0"/>
        </w:rPr>
        <w:t xml:space="preserve"> e-mail: </w:t>
      </w:r>
      <w:hyperlink r:id="rId8">
        <w:r w:rsidDel="00000000" w:rsidR="00000000" w:rsidRPr="00000000">
          <w:rPr>
            <w:rFonts w:ascii="Times New Roman" w:cs="Times New Roman" w:eastAsia="Times New Roman" w:hAnsi="Times New Roman"/>
            <w:color w:val="0000ff"/>
            <w:u w:val="single"/>
            <w:vertAlign w:val="baseline"/>
            <w:rtl w:val="0"/>
          </w:rPr>
          <w:t xml:space="preserve">ajanaszek@vigo.com.pl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5"/>
      <w:bookmarkEnd w:id="5"/>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after="120" w:before="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r w:rsidDel="00000000" w:rsidR="00000000" w:rsidRPr="00000000">
        <w:rPr>
          <w:rtl w:val="0"/>
        </w:rPr>
      </w:r>
    </w:p>
    <w:p w:rsidR="00000000" w:rsidDel="00000000" w:rsidP="00000000" w:rsidRDefault="00000000" w:rsidRPr="00000000" w14:paraId="00000052">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w:t>
      </w:r>
      <w:r w:rsidDel="00000000" w:rsidR="00000000" w:rsidRPr="00000000">
        <w:rPr>
          <w:rFonts w:ascii="Times New Roman" w:cs="Times New Roman" w:eastAsia="Times New Roman" w:hAnsi="Times New Roman"/>
          <w:rtl w:val="0"/>
        </w:rPr>
        <w:t xml:space="preserve">zamówionego</w:t>
      </w:r>
      <w:r w:rsidDel="00000000" w:rsidR="00000000" w:rsidRPr="00000000">
        <w:rPr>
          <w:rFonts w:ascii="Times New Roman" w:cs="Times New Roman" w:eastAsia="Times New Roman" w:hAnsi="Times New Roman"/>
          <w:color w:val="000000"/>
          <w:rtl w:val="0"/>
        </w:rPr>
        <w:t xml:space="preserve"> towaru w terminie przewidzianym zapytaniem ofertowym do siedziby Zamawiającego. </w:t>
      </w:r>
    </w:p>
    <w:p w:rsidR="00000000" w:rsidDel="00000000" w:rsidP="00000000" w:rsidRDefault="00000000" w:rsidRPr="00000000" w14:paraId="00000053">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załączniku nr 1 do zapytania ofertowego.</w:t>
      </w:r>
    </w:p>
    <w:p w:rsidR="00000000" w:rsidDel="00000000" w:rsidP="00000000" w:rsidRDefault="00000000" w:rsidRPr="00000000" w14:paraId="00000054">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55">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wartości zamówienia netto za każdy dzień zwłoki – nie więcej niż 5 %. Wykonawca wyrażą zgodę na potrącenie ewentualnej kary umownej z wynagrodzenia. </w:t>
      </w:r>
    </w:p>
    <w:p w:rsidR="00000000" w:rsidDel="00000000" w:rsidP="00000000" w:rsidRDefault="00000000" w:rsidRPr="00000000" w14:paraId="00000056">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57">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może wybrać ofertę najkorzystniejszą spośród pozostałych ofert</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Klauzula informacyjna RODO</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2. </w:t>
        <w:tab/>
        <w:t xml:space="preserve">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znysh7" w:id="6"/>
      <w:bookmarkEnd w:id="6"/>
      <w:r w:rsidDel="00000000" w:rsidR="00000000" w:rsidRPr="00000000">
        <w:rPr>
          <w:rFonts w:ascii="Times New Roman" w:cs="Times New Roman" w:eastAsia="Times New Roman" w:hAnsi="Times New Roman"/>
          <w:color w:val="000000"/>
          <w:rtl w:val="0"/>
        </w:rPr>
        <w:t xml:space="preserve">Pani/Pana dane osobowe przetwarzane będą na podstawie art. 6 ust. 1 lit. f RODO                                     w celu przeprowadzenia postępowania o udzielenie zamówienia w projekcie  „Opracowanie wysokotemperaturowych detektorów średniej podczerwieni wykorzystujących wzmocnienie plazmonowe (akronim PEMIR)” wybranego w ramach 4. Konkursu Programu Współpraca Polska – Turcja współfinansowanego przez Narodowe Centrum Badań i Rozwoju.</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w:t>
        <w:tab/>
        <w:t xml:space="preserve">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w:t>
        <w:tab/>
        <w:t xml:space="preserve">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w:t>
        <w:tab/>
        <w:t xml:space="preserve">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odniesieniu do Pani/Pana danych osobowych decyzje nie będą podejmowane w sposób zautomatyzowany, stosowanie do art. 22 RODO;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w:t>
        <w:tab/>
        <w:t xml:space="preserve">Posiada Pani/Pan: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na podstawie art. 15 RODO prawo dostępu do danych osobowych;</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na podstawie art. 16 RODO prawo do sprostowania danych osobowych;</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w:t>
        <w:tab/>
        <w:t xml:space="preserve">Nie przysługuje Pani/Panu: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w związku z art. 17 ust. 3 lit. b, d lub e RODO prawo do usunięcia danych osobowych;</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prawo do przenoszenia danych osobowych, o którym mowa w art. 20 RODO;</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69">
      <w:pPr>
        <w:numPr>
          <w:ilvl w:val="0"/>
          <w:numId w:val="7"/>
        </w:num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r w:rsidDel="00000000" w:rsidR="00000000" w:rsidRPr="00000000">
        <w:rPr>
          <w:rtl w:val="0"/>
        </w:rPr>
      </w:r>
    </w:p>
    <w:p w:rsidR="00000000" w:rsidDel="00000000" w:rsidP="00000000" w:rsidRDefault="00000000" w:rsidRPr="00000000" w14:paraId="0000006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6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36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załączony jest następujący dokument:</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7"/>
      <w:bookmarkEnd w:id="7"/>
      <w:r w:rsidDel="00000000" w:rsidR="00000000" w:rsidRPr="00000000">
        <w:rPr>
          <w:rFonts w:ascii="Times New Roman" w:cs="Times New Roman" w:eastAsia="Times New Roman" w:hAnsi="Times New Roman"/>
          <w:color w:val="000000"/>
          <w:rtl w:val="0"/>
        </w:rPr>
        <w:t xml:space="preserve">załącznik nr 1 - opis przedmiotu zamówienia.</w:t>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19055</wp:posOffset>
          </wp:positionH>
          <wp:positionV relativeFrom="paragraph">
            <wp:posOffset>19055</wp:posOffset>
          </wp:positionV>
          <wp:extent cx="5399730" cy="622300"/>
          <wp:effectExtent b="0" l="0" r="0" t="0"/>
          <wp:wrapSquare wrapText="bothSides" distB="114300" distT="114300" distL="114300" distR="114300"/>
          <wp:docPr id="105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4"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3"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3"/>
      <w:numFmt w:val="decimal"/>
      <w:lvlText w:val="%1."/>
      <w:lvlJc w:val="left"/>
      <w:pPr>
        <w:ind w:left="502"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0">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ajanasze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9nQWtuj5LbS2Ye+1UNBJmntmVg==">AMUW2mUI/HXlQCYN64li2+mjC8MgcLG+DDQwXnJJ63EdafQ6b/b77AiUGvzuf8eM0XQfQ/DcdGsPnlH+7vDacpZ5A2O3GsqAKW4fy+1CIryO6oVMDm6H1FRH70quNktb2lFouuptOqwieW4iHh1dHkVXJ0lTxsijW7mwTffkMsBHmHwtg8p4yxmf0fQYtMI7po3h/a2ROxN5HOfZF4II+3szK34tbVRCOnK6Hg0nllBqMHQjD7Svb4s=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2021-04-22T14:08:00Z</dcterms:created>
  <dc:creator>Jakub Pietrasik</dc:creator>
</cp:coreProperties>
</file>