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bookmarkStart w:colFirst="0" w:colLast="0" w:name="_heading=h.3znysh7" w:id="0"/>
      <w:bookmarkEnd w:id="0"/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chłodziarka termoelektryczna w ilości: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Podstawka typu TO39 w wariancie 8 pin 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50</w:t>
      </w:r>
      <w:r w:rsidDel="00000000" w:rsidR="00000000" w:rsidRPr="00000000">
        <w:rPr>
          <w:rtl w:val="0"/>
        </w:rPr>
        <w:t xml:space="preserve"> szt.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Szczegółowy opis przedmiotu zamówienia znajduje się w punkcie 5 niniejszego dokumentu.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Kryteria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netto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Gdzie: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netto  towarów - dla danej przedłożonej oferty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netto dostawy zamawianych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Najszybciej jak to możliwe, nie później niż  10 tygodni od dnia złożenia zamówienia.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Termin realizacji zamówienia obejmuje gotowość do przekazania towaru Zamawiającemu, odpowiadającego zastosowaniu zasady EXW Incoterms2020.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Zgodnie z zasadą EXW (ex works), za moment dostarczenia towaru uznaje się moment pozostawienia go do dyspozycji kupującego w miejscu wskazanym przez dostawcę (fabryka, zakład etc.).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Zamawiający dopuszcza możliwość zastosowania innej zasady Incoterms2020 (m.in. FCA, DAP etc.), pod warunkiem dotrzymania terminu, o którym mowa powyżej.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</w:t>
      </w:r>
    </w:p>
    <w:tbl>
      <w:tblPr>
        <w:tblStyle w:val="Table2"/>
        <w:tblW w:w="10189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5"/>
        <w:gridCol w:w="3118"/>
        <w:gridCol w:w="5556"/>
        <w:tblGridChange w:id="0">
          <w:tblGrid>
            <w:gridCol w:w="1515"/>
            <w:gridCol w:w="3118"/>
            <w:gridCol w:w="5556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Podstawka typu TO39-8pin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Typ podstawki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TO39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Ilość wyprowadzeń elektrycznych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 pin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podstawki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Metalizacja podstawki</w:t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pinów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Metalizacja pinów</w:t>
            </w:r>
          </w:p>
        </w:tc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Uszczelnienie przepustów podstawki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Nieprzewodzące elektryczne, nieprzeźroczyste, wykazujące naciek mniejszy niż 10^-8 mbar*l/s – na przykład Corning 7052 lub równoważne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Średnica rozstawu osi pinów podstawki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5,08±0,05 mm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Średnica pinu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0,45±0,05 mm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Wewnętrzna długość pinów (liczona od górnej powierzchni bazy podstawki)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0,4±0,13 mm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Stan powierzchni pinu (od strony górnej powierzchni bazy podstawki)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Chropowatość powierzchni pinu nie gorsza niż Ra 0,8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Zewnętrzna długość pinów (od dolnej powierzchni bazy podstawki)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13,5±0,13 mm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Pozostałe cechy podstawki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Zgodne z załącznikiem 1</w:t>
            </w:r>
          </w:p>
        </w:tc>
      </w:tr>
    </w:tbl>
    <w:p w:rsidR="00000000" w:rsidDel="00000000" w:rsidP="00000000" w:rsidRDefault="00000000" w:rsidRPr="00000000" w14:paraId="0000004C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Załącznik 1: Wymiarowanie i informacje o pozostałych cechach podstawki (załącznik dostępny także w formie dokumentu PDF)</w:t>
      </w:r>
    </w:p>
    <w:p w:rsidR="00000000" w:rsidDel="00000000" w:rsidP="00000000" w:rsidRDefault="00000000" w:rsidRPr="00000000" w14:paraId="0000004F">
      <w:pPr>
        <w:spacing w:after="0" w:line="360" w:lineRule="auto"/>
        <w:rPr/>
      </w:pPr>
      <w:r w:rsidDel="00000000" w:rsidR="00000000" w:rsidRPr="00000000">
        <w:rPr/>
        <w:drawing>
          <wp:inline distB="0" distT="0" distL="0" distR="0">
            <wp:extent cx="5899150" cy="290385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2147" r="288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29038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94AF5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6252C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625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6252C5"/>
    <w:rPr>
      <w:vertAlign w:val="superscript"/>
    </w:rPr>
  </w:style>
  <w:style w:type="table" w:styleId="a1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fnuaqw7skIabiPGDChYn3rDEfQ==">AMUW2mUy6up/qN6JtiK9fr4ux7IHWwoNgBV/wZfegZenBAcsvF6+QKLQKPpFEmj9jRGXMJeJmpycR8i0IbR5JJ0aMhv1jXX193DXyQwYvJCPTN8WkHrdDVRvyfvbilw4eTeKKPnkndNE2zZbUsbcBR0slmqgwhWVYncx+Oueted9v3Z0Ve3u9xM=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2021-07-06T14:09:00Z</dcterms:created>
  <dc:creator>Przemysław Ropelewski</dc:creator>
</cp:coreProperties>
</file>