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Zał.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[miejscowość…..], dn. ………..[•]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10.0" w:type="dxa"/>
        <w:jc w:val="left"/>
        <w:tblInd w:w="0.0" w:type="dxa"/>
        <w:tblLayout w:type="fixed"/>
        <w:tblLook w:val="0000"/>
      </w:tblPr>
      <w:tblGrid>
        <w:gridCol w:w="4110"/>
        <w:tblGridChange w:id="0">
          <w:tblGrid>
            <w:gridCol w:w="4110"/>
          </w:tblGrid>
        </w:tblGridChange>
      </w:tblGrid>
      <w:tr>
        <w:trPr>
          <w:trHeight w:val="2823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nr KRS / NIP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osoba kontaktowa / adres e-mail / telefon]</w:t>
            </w:r>
          </w:p>
        </w:tc>
      </w:tr>
    </w:tbl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czerwca 2021 r. nr MRN-WS/5</w:t>
      </w:r>
    </w:p>
    <w:p w:rsidR="00000000" w:rsidDel="00000000" w:rsidP="00000000" w:rsidRDefault="00000000" w:rsidRPr="00000000" w14:paraId="0000000A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c2oell4ajnay" w:id="2"/>
      <w:bookmarkEnd w:id="2"/>
      <w:r w:rsidDel="00000000" w:rsidR="00000000" w:rsidRPr="00000000">
        <w:rPr>
          <w:sz w:val="22"/>
          <w:szCs w:val="22"/>
          <w:rtl w:val="0"/>
        </w:rPr>
        <w:t xml:space="preserve">Ja, niżej podpisany ………………………………………………………….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……[•], działając jako …………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21 czerwca 2021 r. Nr MRN-WS/5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Trimethylgallium (TMGa OEG) – 1000 g;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połączenie bubblerów – 2 szt.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”,)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„Nowe przezroczyste elektrody dla laserów VCSEL” w ramach Konkursu:  „M-era-Net” akronim projektu TRAVEL współfinansowanego przez Narodowe Centrum Badań i Rozwoju.</w:t>
      </w:r>
      <w:r w:rsidDel="00000000" w:rsidR="00000000" w:rsidRPr="00000000">
        <w:rPr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  <w:highlight w:val="lightGray"/>
        </w:rPr>
      </w:pPr>
      <w:r w:rsidDel="00000000" w:rsidR="00000000" w:rsidRPr="00000000">
        <w:rPr>
          <w:b w:val="1"/>
          <w:color w:val="000000"/>
          <w:highlight w:val="lightGray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.…(słownie[•]…………………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.…)  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..…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słownie[•]…………………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.…) 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Wysokość podatku VAT: …………………… </w:t>
      </w:r>
      <w:r w:rsidDel="00000000" w:rsidR="00000000" w:rsidRPr="00000000">
        <w:rPr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słownie[•]…………………</w:t>
      </w:r>
      <w:r w:rsidDel="00000000" w:rsidR="00000000" w:rsidRPr="00000000">
        <w:rPr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.…)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15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  <w:highlight w:val="lightGray"/>
        </w:rPr>
      </w:pPr>
      <w:r w:rsidDel="00000000" w:rsidR="00000000" w:rsidRPr="00000000">
        <w:rPr>
          <w:b w:val="1"/>
          <w:color w:val="000000"/>
          <w:highlight w:val="lightGray"/>
          <w:rtl w:val="0"/>
        </w:rPr>
        <w:t xml:space="preserve">Termin związania ofertą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  <w:highlight w:val="lightGray"/>
        </w:rPr>
      </w:pPr>
      <w:r w:rsidDel="00000000" w:rsidR="00000000" w:rsidRPr="00000000">
        <w:rPr>
          <w:b w:val="1"/>
          <w:color w:val="000000"/>
          <w:highlight w:val="lightGray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  <w:highlight w:val="lightGray"/>
        </w:rPr>
      </w:pPr>
      <w:r w:rsidDel="00000000" w:rsidR="00000000" w:rsidRPr="00000000">
        <w:rPr>
          <w:b w:val="1"/>
          <w:color w:val="000000"/>
          <w:highlight w:val="lightGray"/>
          <w:rtl w:val="0"/>
        </w:rPr>
        <w:t xml:space="preserve">Oświadczenia Wykonawcy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</w:t>
        <w:tab/>
        <w:t xml:space="preserve">znajduje się w sytuacji ekonomicznej i finansowej zapewniającej wykonanie Zamówienia;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</w:t>
        <w:tab/>
        <w:t xml:space="preserve">nie zalega z opłacaniem podatków, opłat oraz składek na ubezpieczenia społeczne.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color w:val="000000"/>
          <w:sz w:val="22"/>
          <w:szCs w:val="22"/>
          <w:rtl w:val="0"/>
        </w:rPr>
        <w:t xml:space="preserve">Wykonawca nie jest podmiotem powiązanym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osoby </w:t>
      </w:r>
      <w:r w:rsidDel="00000000" w:rsidR="00000000" w:rsidRPr="00000000">
        <w:rPr>
          <w:b w:val="1"/>
          <w:sz w:val="18"/>
          <w:szCs w:val="18"/>
          <w:rtl w:val="0"/>
        </w:rPr>
        <w:t xml:space="preserve">uprawnione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do reprezentacji- właściwy dla Wykonawcy - </w:t>
      </w:r>
      <w:r w:rsidDel="00000000" w:rsidR="00000000" w:rsidRPr="00000000">
        <w:rPr>
          <w:b w:val="1"/>
          <w:sz w:val="18"/>
          <w:szCs w:val="18"/>
          <w:rtl w:val="0"/>
        </w:rPr>
        <w:t xml:space="preserve">zgodnie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z treścią zapytania ofertowego;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Opis oferty.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b="0" l="0" r="0" t="0"/>
          <wp:wrapTopAndBottom distB="0" distT="0"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fwslvigoHJC1KZHLFb/YyVEsg==">AMUW2mWWXXjO36REFQ3L28qeNZCfGXwvWLx7JuKKNkwCHn1bvSj1Aww74OJpNj+o94A2WMFUEbTkpwwft2oYIXJgy0FoH836DKT1Aja7XYpCGvg2ZYDAHOcWRNvvdXumarK68XAx2+ZPz9qENA04+HfBHt/qBVMHjX6fOy1SMKsuJ3+PKe8s3HE=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2021-06-16T16:02:00Z</dcterms:created>
  <dc:creator>Jakub Pietrasik</dc:creator>
</cp:coreProperties>
</file>