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before="100" w:line="360" w:lineRule="auto"/>
        <w:jc w:val="center"/>
        <w:rPr>
          <w:b w:val="1"/>
        </w:rPr>
      </w:pPr>
      <w:r w:rsidDel="00000000" w:rsidR="00000000" w:rsidRPr="00000000">
        <w:rPr>
          <w:b w:val="1"/>
          <w:rtl w:val="0"/>
        </w:rPr>
        <w:t xml:space="preserve">OPIS PRZEDMIOTU ZAMÓWIENIA </w:t>
      </w:r>
    </w:p>
    <w:p w:rsidR="00000000" w:rsidDel="00000000" w:rsidP="00000000" w:rsidRDefault="00000000" w:rsidRPr="00000000" w14:paraId="00000002">
      <w:pPr>
        <w:numPr>
          <w:ilvl w:val="0"/>
          <w:numId w:val="1"/>
        </w:numPr>
        <w:pBdr>
          <w:top w:space="0" w:sz="0" w:val="nil"/>
          <w:left w:space="0" w:sz="0" w:val="nil"/>
          <w:bottom w:space="0" w:sz="0" w:val="nil"/>
          <w:right w:space="0" w:sz="0" w:val="nil"/>
          <w:between w:space="0" w:sz="0" w:val="nil"/>
        </w:pBdr>
        <w:spacing w:after="0" w:line="360" w:lineRule="auto"/>
        <w:ind w:left="360" w:hanging="360"/>
        <w:rPr>
          <w:b w:val="1"/>
          <w:color w:val="000000"/>
          <w:u w:val="single"/>
        </w:rPr>
      </w:pPr>
      <w:r w:rsidDel="00000000" w:rsidR="00000000" w:rsidRPr="00000000">
        <w:rPr>
          <w:b w:val="1"/>
          <w:color w:val="000000"/>
          <w:u w:val="single"/>
          <w:rtl w:val="0"/>
        </w:rPr>
        <w:t xml:space="preserve">Przedmiot zamówienia</w:t>
      </w:r>
    </w:p>
    <w:p w:rsidR="00000000" w:rsidDel="00000000" w:rsidP="00000000" w:rsidRDefault="00000000" w:rsidRPr="00000000" w14:paraId="00000003">
      <w:pPr>
        <w:spacing w:after="0" w:line="240" w:lineRule="auto"/>
        <w:jc w:val="both"/>
        <w:rPr/>
      </w:pPr>
      <w:r w:rsidDel="00000000" w:rsidR="00000000" w:rsidRPr="00000000">
        <w:rPr>
          <w:rtl w:val="0"/>
        </w:rPr>
        <w:t xml:space="preserve">Przedmiotem zamówienia jest chłodziarka termoelektryczna w ilości:</w:t>
      </w:r>
    </w:p>
    <w:p w:rsidR="00000000" w:rsidDel="00000000" w:rsidP="00000000" w:rsidRDefault="00000000" w:rsidRPr="00000000" w14:paraId="00000004">
      <w:pPr>
        <w:numPr>
          <w:ilvl w:val="0"/>
          <w:numId w:val="2"/>
        </w:numPr>
        <w:spacing w:after="0" w:line="240" w:lineRule="auto"/>
        <w:ind w:left="720" w:hanging="360"/>
        <w:jc w:val="both"/>
        <w:rPr/>
      </w:pPr>
      <w:r w:rsidDel="00000000" w:rsidR="00000000" w:rsidRPr="00000000">
        <w:rPr>
          <w:rtl w:val="0"/>
        </w:rPr>
        <w:t xml:space="preserve">Chłodziarka termoelektryczna 2TE na podstawce TO8 12 pin</w:t>
        <w:tab/>
        <w:tab/>
        <w:t xml:space="preserve"> 50 szt</w:t>
      </w:r>
    </w:p>
    <w:p w:rsidR="00000000" w:rsidDel="00000000" w:rsidP="00000000" w:rsidRDefault="00000000" w:rsidRPr="00000000" w14:paraId="00000005">
      <w:pPr>
        <w:numPr>
          <w:ilvl w:val="0"/>
          <w:numId w:val="2"/>
        </w:numPr>
        <w:spacing w:after="0" w:line="240" w:lineRule="auto"/>
        <w:ind w:left="720" w:hanging="360"/>
        <w:jc w:val="both"/>
        <w:rPr/>
      </w:pPr>
      <w:r w:rsidDel="00000000" w:rsidR="00000000" w:rsidRPr="00000000">
        <w:rPr>
          <w:rtl w:val="0"/>
        </w:rPr>
        <w:t xml:space="preserve">Chłodziarka termoelektryczna 4TE na podstawce TO8 12 pin</w:t>
        <w:tab/>
        <w:tab/>
        <w:t xml:space="preserve"> 50 szt</w:t>
      </w:r>
    </w:p>
    <w:p w:rsidR="00000000" w:rsidDel="00000000" w:rsidP="00000000" w:rsidRDefault="00000000" w:rsidRPr="00000000" w14:paraId="00000006">
      <w:pPr>
        <w:numPr>
          <w:ilvl w:val="0"/>
          <w:numId w:val="2"/>
        </w:numPr>
        <w:spacing w:after="0" w:line="240" w:lineRule="auto"/>
        <w:ind w:left="720" w:hanging="360"/>
        <w:jc w:val="both"/>
        <w:rPr/>
      </w:pPr>
      <w:r w:rsidDel="00000000" w:rsidR="00000000" w:rsidRPr="00000000">
        <w:rPr>
          <w:rtl w:val="0"/>
        </w:rPr>
        <w:t xml:space="preserve">Podstawka TO8</w:t>
        <w:tab/>
        <w:tab/>
        <w:tab/>
        <w:tab/>
        <w:tab/>
        <w:tab/>
        <w:tab/>
        <w:tab/>
        <w:t xml:space="preserve">200 szt</w:t>
      </w:r>
    </w:p>
    <w:p w:rsidR="00000000" w:rsidDel="00000000" w:rsidP="00000000" w:rsidRDefault="00000000" w:rsidRPr="00000000" w14:paraId="00000007">
      <w:pPr>
        <w:spacing w:after="0" w:line="240" w:lineRule="auto"/>
        <w:ind w:left="720" w:firstLine="0"/>
        <w:jc w:val="both"/>
        <w:rPr/>
      </w:pPr>
      <w:r w:rsidDel="00000000" w:rsidR="00000000" w:rsidRPr="00000000">
        <w:rPr>
          <w:rtl w:val="0"/>
        </w:rPr>
      </w:r>
    </w:p>
    <w:p w:rsidR="00000000" w:rsidDel="00000000" w:rsidP="00000000" w:rsidRDefault="00000000" w:rsidRPr="00000000" w14:paraId="00000008">
      <w:pPr>
        <w:spacing w:after="0" w:line="240" w:lineRule="auto"/>
        <w:jc w:val="both"/>
        <w:rPr/>
      </w:pPr>
      <w:r w:rsidDel="00000000" w:rsidR="00000000" w:rsidRPr="00000000">
        <w:rPr>
          <w:rtl w:val="0"/>
        </w:rPr>
      </w:r>
    </w:p>
    <w:p w:rsidR="00000000" w:rsidDel="00000000" w:rsidP="00000000" w:rsidRDefault="00000000" w:rsidRPr="00000000" w14:paraId="00000009">
      <w:pPr>
        <w:numPr>
          <w:ilvl w:val="0"/>
          <w:numId w:val="1"/>
        </w:numPr>
        <w:pBdr>
          <w:top w:space="0" w:sz="0" w:val="nil"/>
          <w:left w:space="0" w:sz="0" w:val="nil"/>
          <w:bottom w:space="0" w:sz="0" w:val="nil"/>
          <w:right w:space="0" w:sz="0" w:val="nil"/>
          <w:between w:space="0" w:sz="0" w:val="nil"/>
        </w:pBdr>
        <w:spacing w:after="0" w:line="360" w:lineRule="auto"/>
        <w:ind w:left="360" w:hanging="360"/>
        <w:rPr>
          <w:b w:val="1"/>
          <w:color w:val="000000"/>
          <w:u w:val="single"/>
        </w:rPr>
      </w:pPr>
      <w:r w:rsidDel="00000000" w:rsidR="00000000" w:rsidRPr="00000000">
        <w:rPr>
          <w:b w:val="1"/>
          <w:color w:val="000000"/>
          <w:u w:val="single"/>
          <w:rtl w:val="0"/>
        </w:rPr>
        <w:t xml:space="preserve">Zakres przedmiotu zamówienia</w:t>
      </w:r>
    </w:p>
    <w:p w:rsidR="00000000" w:rsidDel="00000000" w:rsidP="00000000" w:rsidRDefault="00000000" w:rsidRPr="00000000" w14:paraId="0000000A">
      <w:pPr>
        <w:spacing w:after="0" w:line="240" w:lineRule="auto"/>
        <w:jc w:val="both"/>
        <w:rPr/>
      </w:pPr>
      <w:bookmarkStart w:colFirst="0" w:colLast="0" w:name="_heading=h.gjdgxs" w:id="0"/>
      <w:bookmarkEnd w:id="0"/>
      <w:r w:rsidDel="00000000" w:rsidR="00000000" w:rsidRPr="00000000">
        <w:rPr>
          <w:rtl w:val="0"/>
        </w:rPr>
        <w:t xml:space="preserve">Szczegółowy opis przedmiotu zamówienia znajduje się w punkcie 5 niniejszego dokumentu. </w:t>
      </w:r>
    </w:p>
    <w:p w:rsidR="00000000" w:rsidDel="00000000" w:rsidP="00000000" w:rsidRDefault="00000000" w:rsidRPr="00000000" w14:paraId="0000000B">
      <w:pPr>
        <w:numPr>
          <w:ilvl w:val="0"/>
          <w:numId w:val="1"/>
        </w:numPr>
        <w:spacing w:after="0" w:line="240" w:lineRule="auto"/>
        <w:ind w:left="360" w:hanging="360"/>
        <w:jc w:val="both"/>
        <w:rPr>
          <w:b w:val="1"/>
          <w:color w:val="000000"/>
        </w:rPr>
      </w:pPr>
      <w:bookmarkStart w:colFirst="0" w:colLast="0" w:name="_heading=h.30j0zll" w:id="1"/>
      <w:bookmarkEnd w:id="1"/>
      <w:r w:rsidDel="00000000" w:rsidR="00000000" w:rsidRPr="00000000">
        <w:rPr>
          <w:b w:val="1"/>
          <w:color w:val="000000"/>
          <w:u w:val="single"/>
          <w:rtl w:val="0"/>
        </w:rPr>
        <w:t xml:space="preserve">Kryteria</w:t>
      </w: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0" w:line="360" w:lineRule="auto"/>
        <w:rPr>
          <w:b w:val="1"/>
          <w:color w:val="000000"/>
          <w:u w:val="single"/>
        </w:rPr>
      </w:pPr>
      <w:r w:rsidDel="00000000" w:rsidR="00000000" w:rsidRPr="00000000">
        <w:rPr>
          <w:rtl w:val="0"/>
        </w:rPr>
        <w:t xml:space="preserve">Oferty oceniane będą wg skali punktowej z maksymalną liczbą punktów wynoszącą 100.</w:t>
      </w:r>
      <w:r w:rsidDel="00000000" w:rsidR="00000000" w:rsidRPr="00000000">
        <w:rPr>
          <w:rtl w:val="0"/>
        </w:rPr>
      </w:r>
    </w:p>
    <w:tbl>
      <w:tblPr>
        <w:tblStyle w:val="Table1"/>
        <w:tblW w:w="9353.0" w:type="dxa"/>
        <w:jc w:val="left"/>
        <w:tblInd w:w="0.0" w:type="dxa"/>
        <w:tblLayout w:type="fixed"/>
        <w:tblLook w:val="0000"/>
      </w:tblPr>
      <w:tblGrid>
        <w:gridCol w:w="2974"/>
        <w:gridCol w:w="3119"/>
        <w:gridCol w:w="3260"/>
        <w:tblGridChange w:id="0">
          <w:tblGrid>
            <w:gridCol w:w="2974"/>
            <w:gridCol w:w="3119"/>
            <w:gridCol w:w="3260"/>
          </w:tblGrid>
        </w:tblGridChange>
      </w:tblGrid>
      <w:tr>
        <w:tc>
          <w:tcPr>
            <w:tcBorders>
              <w:top w:color="000000" w:space="0" w:sz="4" w:val="single"/>
              <w:left w:color="000000" w:space="0" w:sz="4" w:val="single"/>
              <w:bottom w:color="000000" w:space="0" w:sz="4" w:val="single"/>
            </w:tcBorders>
            <w:shd w:fill="dddddd" w:val="clear"/>
            <w:tcMar>
              <w:top w:w="55.0" w:type="dxa"/>
              <w:left w:w="55.0" w:type="dxa"/>
              <w:bottom w:w="55.0" w:type="dxa"/>
              <w:right w:w="55.0" w:type="dxa"/>
            </w:tcMar>
            <w:vAlign w:val="center"/>
          </w:tcPr>
          <w:p w:rsidR="00000000" w:rsidDel="00000000" w:rsidP="00000000" w:rsidRDefault="00000000" w:rsidRPr="00000000" w14:paraId="0000000D">
            <w:pPr>
              <w:widowControl w:val="0"/>
              <w:spacing w:after="0" w:line="240" w:lineRule="auto"/>
              <w:jc w:val="center"/>
              <w:rPr/>
            </w:pPr>
            <w:r w:rsidDel="00000000" w:rsidR="00000000" w:rsidRPr="00000000">
              <w:rPr>
                <w:rtl w:val="0"/>
              </w:rPr>
              <w:t xml:space="preserve">Kryterium</w:t>
            </w:r>
          </w:p>
        </w:tc>
        <w:tc>
          <w:tcPr>
            <w:tcBorders>
              <w:top w:color="000000" w:space="0" w:sz="4" w:val="single"/>
              <w:left w:color="000000" w:space="0" w:sz="4" w:val="single"/>
              <w:bottom w:color="000000" w:space="0" w:sz="4" w:val="single"/>
              <w:right w:color="000000" w:space="0" w:sz="4" w:val="single"/>
            </w:tcBorders>
            <w:shd w:fill="dddddd" w:val="clear"/>
            <w:tcMar>
              <w:top w:w="55.0" w:type="dxa"/>
              <w:left w:w="55.0" w:type="dxa"/>
              <w:bottom w:w="55.0" w:type="dxa"/>
              <w:right w:w="55.0" w:type="dxa"/>
            </w:tcMar>
          </w:tcPr>
          <w:p w:rsidR="00000000" w:rsidDel="00000000" w:rsidP="00000000" w:rsidRDefault="00000000" w:rsidRPr="00000000" w14:paraId="0000000E">
            <w:pPr>
              <w:widowControl w:val="0"/>
              <w:spacing w:after="0" w:line="240" w:lineRule="auto"/>
              <w:jc w:val="center"/>
              <w:rPr/>
            </w:pPr>
            <w:r w:rsidDel="00000000" w:rsidR="00000000" w:rsidRPr="00000000">
              <w:rPr>
                <w:rtl w:val="0"/>
              </w:rPr>
              <w:t xml:space="preserve">Maksymalna ilość punktów S</w:t>
            </w:r>
          </w:p>
        </w:tc>
        <w:tc>
          <w:tcPr>
            <w:tcBorders>
              <w:top w:color="000000" w:space="0" w:sz="4" w:val="single"/>
              <w:left w:color="000000" w:space="0" w:sz="4" w:val="single"/>
              <w:bottom w:color="000000" w:space="0" w:sz="4" w:val="single"/>
              <w:right w:color="000000" w:space="0" w:sz="4" w:val="single"/>
            </w:tcBorders>
            <w:shd w:fill="dddddd" w:val="clear"/>
          </w:tcPr>
          <w:p w:rsidR="00000000" w:rsidDel="00000000" w:rsidP="00000000" w:rsidRDefault="00000000" w:rsidRPr="00000000" w14:paraId="0000000F">
            <w:pPr>
              <w:widowControl w:val="0"/>
              <w:spacing w:after="0" w:line="240" w:lineRule="auto"/>
              <w:jc w:val="center"/>
              <w:rPr/>
            </w:pPr>
            <w:r w:rsidDel="00000000" w:rsidR="00000000" w:rsidRPr="00000000">
              <w:rPr>
                <w:rtl w:val="0"/>
              </w:rPr>
              <w:t xml:space="preserve">Metoda przyznawania punktów</w:t>
            </w:r>
          </w:p>
        </w:tc>
      </w:tr>
      <w:tr>
        <w:tc>
          <w:tcPr>
            <w:tcBorders>
              <w:left w:color="000000" w:space="0" w:sz="4" w:val="single"/>
              <w:bottom w:color="000000" w:space="0" w:sz="4" w:val="single"/>
            </w:tcBorders>
            <w:tcMar>
              <w:top w:w="55.0" w:type="dxa"/>
              <w:left w:w="55.0" w:type="dxa"/>
              <w:bottom w:w="55.0" w:type="dxa"/>
              <w:right w:w="55.0" w:type="dxa"/>
            </w:tcMar>
            <w:vAlign w:val="center"/>
          </w:tcPr>
          <w:p w:rsidR="00000000" w:rsidDel="00000000" w:rsidP="00000000" w:rsidRDefault="00000000" w:rsidRPr="00000000" w14:paraId="00000010">
            <w:pPr>
              <w:widowControl w:val="0"/>
              <w:spacing w:after="0" w:line="240" w:lineRule="auto"/>
              <w:rPr/>
            </w:pPr>
            <w:r w:rsidDel="00000000" w:rsidR="00000000" w:rsidRPr="00000000">
              <w:rPr>
                <w:rtl w:val="0"/>
              </w:rPr>
              <w:t xml:space="preserve">Cena (P)</w:t>
            </w:r>
          </w:p>
        </w:tc>
        <w:tc>
          <w:tcPr>
            <w:tcBorders>
              <w:left w:color="000000" w:space="0" w:sz="4" w:val="single"/>
              <w:bottom w:color="000000" w:space="0" w:sz="4" w:val="single"/>
              <w:right w:color="000000" w:space="0" w:sz="4" w:val="single"/>
            </w:tcBorders>
            <w:tcMar>
              <w:top w:w="55.0" w:type="dxa"/>
              <w:left w:w="55.0" w:type="dxa"/>
              <w:bottom w:w="55.0" w:type="dxa"/>
              <w:right w:w="55.0" w:type="dxa"/>
            </w:tcMar>
            <w:vAlign w:val="center"/>
          </w:tcPr>
          <w:p w:rsidR="00000000" w:rsidDel="00000000" w:rsidP="00000000" w:rsidRDefault="00000000" w:rsidRPr="00000000" w14:paraId="00000011">
            <w:pPr>
              <w:widowControl w:val="0"/>
              <w:spacing w:after="0" w:line="240" w:lineRule="auto"/>
              <w:jc w:val="center"/>
              <w:rPr/>
            </w:pPr>
            <w:r w:rsidDel="00000000" w:rsidR="00000000" w:rsidRPr="00000000">
              <w:rPr>
                <w:rtl w:val="0"/>
              </w:rPr>
              <w:t xml:space="preserve">100</w:t>
            </w:r>
          </w:p>
        </w:tc>
        <w:tc>
          <w:tcPr>
            <w:tcBorders>
              <w:left w:color="000000" w:space="0" w:sz="4" w:val="single"/>
              <w:bottom w:color="000000" w:space="0" w:sz="4" w:val="single"/>
              <w:right w:color="000000" w:space="0" w:sz="4" w:val="single"/>
            </w:tcBorders>
            <w:vAlign w:val="center"/>
          </w:tcPr>
          <w:p w:rsidR="00000000" w:rsidDel="00000000" w:rsidP="00000000" w:rsidRDefault="00000000" w:rsidRPr="00000000" w14:paraId="00000012">
            <w:pPr>
              <w:widowControl w:val="0"/>
              <w:spacing w:after="0" w:line="240" w:lineRule="auto"/>
              <w:jc w:val="center"/>
              <w:rPr/>
            </w:pPr>
            <w:r w:rsidDel="00000000" w:rsidR="00000000" w:rsidRPr="00000000">
              <w:rPr>
                <w:rtl w:val="0"/>
              </w:rPr>
              <w:t xml:space="preserve">S x Pmin/Pi</w:t>
            </w:r>
          </w:p>
        </w:tc>
      </w:tr>
    </w:tbl>
    <w:p w:rsidR="00000000" w:rsidDel="00000000" w:rsidP="00000000" w:rsidRDefault="00000000" w:rsidRPr="00000000" w14:paraId="00000013">
      <w:pPr>
        <w:pBdr>
          <w:top w:space="0" w:sz="0" w:val="nil"/>
          <w:left w:space="0" w:sz="0" w:val="nil"/>
          <w:bottom w:space="0" w:sz="0" w:val="nil"/>
          <w:right w:space="0" w:sz="0" w:val="nil"/>
          <w:between w:space="0" w:sz="0" w:val="nil"/>
        </w:pBdr>
        <w:spacing w:after="0" w:line="360" w:lineRule="auto"/>
        <w:rPr>
          <w:b w:val="1"/>
          <w:color w:val="000000"/>
          <w:u w:val="single"/>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0" w:line="360" w:lineRule="auto"/>
        <w:rPr>
          <w:color w:val="000000"/>
        </w:rPr>
      </w:pPr>
      <w:r w:rsidDel="00000000" w:rsidR="00000000" w:rsidRPr="00000000">
        <w:rPr>
          <w:color w:val="000000"/>
          <w:rtl w:val="0"/>
        </w:rPr>
        <w:t xml:space="preserve">Gdzie:</w:t>
      </w:r>
    </w:p>
    <w:p w:rsidR="00000000" w:rsidDel="00000000" w:rsidP="00000000" w:rsidRDefault="00000000" w:rsidRPr="00000000" w14:paraId="00000015">
      <w:pPr>
        <w:numPr>
          <w:ilvl w:val="0"/>
          <w:numId w:val="3"/>
        </w:numPr>
        <w:spacing w:after="0" w:line="240" w:lineRule="auto"/>
        <w:ind w:left="720" w:hanging="360"/>
        <w:jc w:val="both"/>
        <w:rPr/>
      </w:pPr>
      <w:r w:rsidDel="00000000" w:rsidR="00000000" w:rsidRPr="00000000">
        <w:rPr>
          <w:rtl w:val="0"/>
        </w:rPr>
        <w:t xml:space="preserve">Pi – cena towarów wraz z dostawą - dla danej przedłożonej oferty</w:t>
      </w:r>
    </w:p>
    <w:p w:rsidR="00000000" w:rsidDel="00000000" w:rsidP="00000000" w:rsidRDefault="00000000" w:rsidRPr="00000000" w14:paraId="00000016">
      <w:pPr>
        <w:numPr>
          <w:ilvl w:val="0"/>
          <w:numId w:val="3"/>
        </w:numPr>
        <w:spacing w:after="0" w:line="240" w:lineRule="auto"/>
        <w:ind w:left="720" w:hanging="360"/>
        <w:jc w:val="both"/>
        <w:rPr>
          <w:u w:val="single"/>
        </w:rPr>
      </w:pPr>
      <w:r w:rsidDel="00000000" w:rsidR="00000000" w:rsidRPr="00000000">
        <w:rPr>
          <w:rtl w:val="0"/>
        </w:rPr>
        <w:t xml:space="preserve">Pmin - minimalna cena dostawy zamawianych towarów spośród wszystkich przedłożonych ofert</w:t>
      </w:r>
      <w:r w:rsidDel="00000000" w:rsidR="00000000" w:rsidRPr="00000000">
        <w:rPr>
          <w:rtl w:val="0"/>
        </w:rPr>
      </w:r>
    </w:p>
    <w:p w:rsidR="00000000" w:rsidDel="00000000" w:rsidP="00000000" w:rsidRDefault="00000000" w:rsidRPr="00000000" w14:paraId="00000017">
      <w:pPr>
        <w:numPr>
          <w:ilvl w:val="0"/>
          <w:numId w:val="3"/>
        </w:numPr>
        <w:spacing w:after="0" w:line="240" w:lineRule="auto"/>
        <w:ind w:left="720" w:hanging="360"/>
        <w:jc w:val="both"/>
        <w:rPr>
          <w:u w:val="single"/>
        </w:rPr>
      </w:pPr>
      <w:r w:rsidDel="00000000" w:rsidR="00000000" w:rsidRPr="00000000">
        <w:rPr>
          <w:rtl w:val="0"/>
        </w:rPr>
        <w:t xml:space="preserve">S – liczba punktów</w:t>
      </w:r>
      <w:r w:rsidDel="00000000" w:rsidR="00000000" w:rsidRPr="00000000">
        <w:rPr>
          <w:rtl w:val="0"/>
        </w:rPr>
      </w:r>
    </w:p>
    <w:p w:rsidR="00000000" w:rsidDel="00000000" w:rsidP="00000000" w:rsidRDefault="00000000" w:rsidRPr="00000000" w14:paraId="00000018">
      <w:pPr>
        <w:spacing w:after="0" w:line="240" w:lineRule="auto"/>
        <w:jc w:val="both"/>
        <w:rPr/>
      </w:pPr>
      <w:bookmarkStart w:colFirst="0" w:colLast="0" w:name="_heading=h.1fob9te" w:id="2"/>
      <w:bookmarkEnd w:id="2"/>
      <w:r w:rsidDel="00000000" w:rsidR="00000000" w:rsidRPr="00000000">
        <w:rPr>
          <w:rtl w:val="0"/>
        </w:rPr>
        <w:t xml:space="preserve">Końcowa punktacja zostanie wyliczona poprzez zsumowanie składowych cząstkowych, a następnie zaokrąglona do dwóch miejsc po przecinku. (zaokrąglając od „5” w górę)</w:t>
      </w:r>
    </w:p>
    <w:p w:rsidR="00000000" w:rsidDel="00000000" w:rsidP="00000000" w:rsidRDefault="00000000" w:rsidRPr="00000000" w14:paraId="00000019">
      <w:pPr>
        <w:spacing w:after="0" w:line="240" w:lineRule="auto"/>
        <w:jc w:val="both"/>
        <w:rPr/>
      </w:pPr>
      <w:r w:rsidDel="00000000" w:rsidR="00000000" w:rsidRPr="00000000">
        <w:rPr>
          <w:rtl w:val="0"/>
        </w:rPr>
      </w:r>
    </w:p>
    <w:p w:rsidR="00000000" w:rsidDel="00000000" w:rsidP="00000000" w:rsidRDefault="00000000" w:rsidRPr="00000000" w14:paraId="0000001A">
      <w:pPr>
        <w:numPr>
          <w:ilvl w:val="0"/>
          <w:numId w:val="1"/>
        </w:numPr>
        <w:pBdr>
          <w:top w:space="0" w:sz="0" w:val="nil"/>
          <w:left w:space="0" w:sz="0" w:val="nil"/>
          <w:bottom w:space="0" w:sz="0" w:val="nil"/>
          <w:right w:space="0" w:sz="0" w:val="nil"/>
          <w:between w:space="0" w:sz="0" w:val="nil"/>
        </w:pBdr>
        <w:spacing w:after="0" w:line="360" w:lineRule="auto"/>
        <w:ind w:left="360" w:hanging="360"/>
        <w:rPr>
          <w:b w:val="1"/>
          <w:color w:val="000000"/>
          <w:u w:val="single"/>
        </w:rPr>
      </w:pPr>
      <w:r w:rsidDel="00000000" w:rsidR="00000000" w:rsidRPr="00000000">
        <w:rPr>
          <w:b w:val="1"/>
          <w:color w:val="000000"/>
          <w:u w:val="single"/>
          <w:rtl w:val="0"/>
        </w:rPr>
        <w:t xml:space="preserve">Termin wykonania zamówienia</w:t>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0" w:line="360" w:lineRule="auto"/>
        <w:ind w:left="360" w:firstLine="0"/>
        <w:rPr/>
      </w:pPr>
      <w:r w:rsidDel="00000000" w:rsidR="00000000" w:rsidRPr="00000000">
        <w:rPr>
          <w:b w:val="1"/>
          <w:rtl w:val="0"/>
        </w:rPr>
        <w:t xml:space="preserve">10 tygodni od dnia podpisania umowy. Zamawiający wymaga zastosowania zasady dostawy FCA  Incoterms 2020. FCA (free carrier) tj. za moment dostarczenia towaru uznaje się pozostawienie go do dyspozycji kuriera lub innej osoby wyznaczonej przez kupującego na terenie wskazanym przez dostawcę.</w:t>
      </w: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after="0" w:line="360" w:lineRule="auto"/>
        <w:ind w:left="360" w:firstLine="0"/>
        <w:rPr/>
      </w:pPr>
      <w:r w:rsidDel="00000000" w:rsidR="00000000" w:rsidRPr="00000000">
        <w:rPr>
          <w:rtl w:val="0"/>
        </w:rPr>
      </w:r>
    </w:p>
    <w:p w:rsidR="00000000" w:rsidDel="00000000" w:rsidP="00000000" w:rsidRDefault="00000000" w:rsidRPr="00000000" w14:paraId="0000001D">
      <w:pPr>
        <w:numPr>
          <w:ilvl w:val="0"/>
          <w:numId w:val="1"/>
        </w:numPr>
        <w:pBdr>
          <w:top w:space="0" w:sz="0" w:val="nil"/>
          <w:left w:space="0" w:sz="0" w:val="nil"/>
          <w:bottom w:space="0" w:sz="0" w:val="nil"/>
          <w:right w:space="0" w:sz="0" w:val="nil"/>
          <w:between w:space="0" w:sz="0" w:val="nil"/>
        </w:pBdr>
        <w:spacing w:after="0" w:line="360" w:lineRule="auto"/>
        <w:ind w:left="360" w:hanging="360"/>
        <w:rPr>
          <w:b w:val="1"/>
          <w:color w:val="000000"/>
          <w:u w:val="single"/>
        </w:rPr>
      </w:pPr>
      <w:r w:rsidDel="00000000" w:rsidR="00000000" w:rsidRPr="00000000">
        <w:rPr>
          <w:b w:val="1"/>
          <w:color w:val="000000"/>
          <w:u w:val="single"/>
          <w:rtl w:val="0"/>
        </w:rPr>
        <w:t xml:space="preserve">Parametry </w:t>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0" w:line="360" w:lineRule="auto"/>
        <w:ind w:left="360" w:firstLine="0"/>
        <w:rPr>
          <w:b w:val="1"/>
          <w:u w:val="single"/>
        </w:rPr>
      </w:pPr>
      <w:r w:rsidDel="00000000" w:rsidR="00000000" w:rsidRPr="00000000">
        <w:rPr>
          <w:b w:val="1"/>
          <w:u w:val="single"/>
          <w:rtl w:val="0"/>
        </w:rPr>
        <w:t xml:space="preserve">5.1 Szczegółowy zakres przedmiotu </w:t>
      </w:r>
    </w:p>
    <w:tbl>
      <w:tblPr>
        <w:tblStyle w:val="Table2"/>
        <w:tblW w:w="10351.0" w:type="dxa"/>
        <w:jc w:val="left"/>
        <w:tblInd w:w="-71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690"/>
        <w:gridCol w:w="2409"/>
        <w:gridCol w:w="4252"/>
        <w:tblGridChange w:id="0">
          <w:tblGrid>
            <w:gridCol w:w="3690"/>
            <w:gridCol w:w="2409"/>
            <w:gridCol w:w="4252"/>
          </w:tblGrid>
        </w:tblGridChange>
      </w:tblGrid>
      <w:tr>
        <w:trPr>
          <w:trHeight w:val="240" w:hRule="atLeast"/>
        </w:trPr>
        <w:tc>
          <w:tcPr>
            <w:shd w:fill="dddddd" w:val="clear"/>
          </w:tcPr>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pacing w:after="0" w:line="240" w:lineRule="auto"/>
              <w:rPr>
                <w:color w:val="000000"/>
                <w:sz w:val="16"/>
                <w:szCs w:val="16"/>
              </w:rPr>
            </w:pPr>
            <w:r w:rsidDel="00000000" w:rsidR="00000000" w:rsidRPr="00000000">
              <w:rPr>
                <w:color w:val="000000"/>
                <w:sz w:val="16"/>
                <w:szCs w:val="16"/>
                <w:rtl w:val="0"/>
              </w:rPr>
              <w:t xml:space="preserve">Nazwa towaru</w:t>
            </w:r>
          </w:p>
        </w:tc>
        <w:tc>
          <w:tcPr>
            <w:shd w:fill="dddddd" w:val="clear"/>
            <w:tcMar>
              <w:top w:w="55.0" w:type="dxa"/>
              <w:left w:w="55.0" w:type="dxa"/>
              <w:bottom w:w="55.0" w:type="dxa"/>
              <w:right w:w="55.0" w:type="dxa"/>
            </w:tcMar>
          </w:tcPr>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pacing w:after="0" w:line="240" w:lineRule="auto"/>
              <w:rPr>
                <w:color w:val="000000"/>
                <w:sz w:val="16"/>
                <w:szCs w:val="16"/>
              </w:rPr>
            </w:pPr>
            <w:r w:rsidDel="00000000" w:rsidR="00000000" w:rsidRPr="00000000">
              <w:rPr>
                <w:color w:val="000000"/>
                <w:sz w:val="16"/>
                <w:szCs w:val="16"/>
                <w:rtl w:val="0"/>
              </w:rPr>
              <w:t xml:space="preserve">Parametr </w:t>
            </w:r>
          </w:p>
        </w:tc>
        <w:tc>
          <w:tcPr>
            <w:shd w:fill="dddddd" w:val="clear"/>
          </w:tcPr>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pacing w:after="0" w:line="240" w:lineRule="auto"/>
              <w:rPr>
                <w:color w:val="000000"/>
                <w:sz w:val="16"/>
                <w:szCs w:val="16"/>
              </w:rPr>
            </w:pPr>
            <w:r w:rsidDel="00000000" w:rsidR="00000000" w:rsidRPr="00000000">
              <w:rPr>
                <w:color w:val="000000"/>
                <w:sz w:val="16"/>
                <w:szCs w:val="16"/>
                <w:rtl w:val="0"/>
              </w:rPr>
              <w:t xml:space="preserve">Specyfikacja</w:t>
            </w:r>
          </w:p>
        </w:tc>
      </w:tr>
      <w:tr>
        <w:trPr>
          <w:trHeight w:val="330" w:hRule="atLeast"/>
        </w:trPr>
        <w:tc>
          <w:tcPr>
            <w:vMerge w:val="restart"/>
            <w:vAlign w:val="center"/>
          </w:tcPr>
          <w:p w:rsidR="00000000" w:rsidDel="00000000" w:rsidP="00000000" w:rsidRDefault="00000000" w:rsidRPr="00000000" w14:paraId="00000022">
            <w:pPr>
              <w:spacing w:after="0" w:line="240" w:lineRule="auto"/>
              <w:rPr>
                <w:b w:val="1"/>
                <w:highlight w:val="yellow"/>
              </w:rPr>
            </w:pPr>
            <w:r w:rsidDel="00000000" w:rsidR="00000000" w:rsidRPr="00000000">
              <w:rPr>
                <w:b w:val="1"/>
                <w:highlight w:val="white"/>
                <w:rtl w:val="0"/>
              </w:rPr>
              <w:t xml:space="preserve">Chłodziarka termoelektryczna</w:t>
            </w:r>
            <w:r w:rsidDel="00000000" w:rsidR="00000000" w:rsidRPr="00000000">
              <w:rPr>
                <w:b w:val="1"/>
                <w:highlight w:val="yellow"/>
                <w:rtl w:val="0"/>
              </w:rPr>
              <w:t xml:space="preserve"> </w:t>
            </w:r>
          </w:p>
          <w:p w:rsidR="00000000" w:rsidDel="00000000" w:rsidP="00000000" w:rsidRDefault="00000000" w:rsidRPr="00000000" w14:paraId="00000023">
            <w:pPr>
              <w:spacing w:after="0" w:line="240" w:lineRule="auto"/>
              <w:rPr>
                <w:b w:val="1"/>
                <w:highlight w:val="yellow"/>
              </w:rPr>
            </w:pPr>
            <w:r w:rsidDel="00000000" w:rsidR="00000000" w:rsidRPr="00000000">
              <w:rPr>
                <w:b w:val="1"/>
                <w:rtl w:val="0"/>
              </w:rPr>
              <w:t xml:space="preserve">2TE na podstawce TO8 12 pin</w:t>
            </w:r>
            <w:r w:rsidDel="00000000" w:rsidR="00000000" w:rsidRPr="00000000">
              <w:rPr>
                <w:rtl w:val="0"/>
              </w:rPr>
            </w:r>
          </w:p>
          <w:p w:rsidR="00000000" w:rsidDel="00000000" w:rsidP="00000000" w:rsidRDefault="00000000" w:rsidRPr="00000000" w14:paraId="00000024">
            <w:pPr>
              <w:spacing w:after="0" w:line="240" w:lineRule="auto"/>
              <w:rPr>
                <w:b w:val="1"/>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25">
            <w:pPr>
              <w:spacing w:after="0" w:line="240" w:lineRule="auto"/>
              <w:rPr>
                <w:color w:val="000000"/>
              </w:rPr>
            </w:pPr>
            <w:r w:rsidDel="00000000" w:rsidR="00000000" w:rsidRPr="00000000">
              <w:rPr>
                <w:rtl w:val="0"/>
              </w:rPr>
              <w:t xml:space="preserve">Top Ceramics (zimna strona)</w:t>
            </w:r>
            <w:r w:rsidDel="00000000" w:rsidR="00000000" w:rsidRPr="00000000">
              <w:rPr>
                <w:rtl w:val="0"/>
              </w:rPr>
            </w:r>
          </w:p>
        </w:tc>
        <w:tc>
          <w:tcPr/>
          <w:p w:rsidR="00000000" w:rsidDel="00000000" w:rsidP="00000000" w:rsidRDefault="00000000" w:rsidRPr="00000000" w14:paraId="00000026">
            <w:pPr>
              <w:spacing w:after="0" w:line="240" w:lineRule="auto"/>
              <w:rPr>
                <w:highlight w:val="white"/>
              </w:rPr>
            </w:pPr>
            <w:r w:rsidDel="00000000" w:rsidR="00000000" w:rsidRPr="00000000">
              <w:rPr>
                <w:highlight w:val="white"/>
                <w:rtl w:val="0"/>
              </w:rPr>
              <w:t xml:space="preserve">materiał Al2O3, bez metalizacji, górny stopień o wymiarach 3,2x3,2mm 0,1mm, Ra&lt;0,1</w:t>
            </w:r>
          </w:p>
        </w:tc>
      </w:tr>
      <w:tr>
        <w:trPr>
          <w:trHeight w:val="405" w:hRule="atLeast"/>
        </w:trPr>
        <w:tc>
          <w:tcPr>
            <w:vMerge w:val="continue"/>
            <w:vAlign w:val="center"/>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highlight w:val="white"/>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28">
            <w:pPr>
              <w:spacing w:after="0" w:line="240" w:lineRule="auto"/>
              <w:rPr/>
            </w:pPr>
            <w:r w:rsidDel="00000000" w:rsidR="00000000" w:rsidRPr="00000000">
              <w:rPr>
                <w:rtl w:val="0"/>
              </w:rPr>
              <w:t xml:space="preserve">Ceramika środkowa</w:t>
            </w:r>
          </w:p>
        </w:tc>
        <w:tc>
          <w:tcPr/>
          <w:p w:rsidR="00000000" w:rsidDel="00000000" w:rsidP="00000000" w:rsidRDefault="00000000" w:rsidRPr="00000000" w14:paraId="00000029">
            <w:pPr>
              <w:spacing w:after="0" w:line="240" w:lineRule="auto"/>
              <w:rPr>
                <w:highlight w:val="white"/>
              </w:rPr>
            </w:pPr>
            <w:r w:rsidDel="00000000" w:rsidR="00000000" w:rsidRPr="00000000">
              <w:rPr>
                <w:highlight w:val="white"/>
                <w:rtl w:val="0"/>
              </w:rPr>
              <w:t xml:space="preserve">Al2O3 z VIAS</w:t>
            </w:r>
          </w:p>
        </w:tc>
      </w:tr>
      <w:tr>
        <w:trPr>
          <w:trHeight w:val="330" w:hRule="atLeast"/>
        </w:trPr>
        <w:tc>
          <w:tcPr>
            <w:vMerge w:val="continue"/>
            <w:vAlign w:val="center"/>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highlight w:val="white"/>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2B">
            <w:pPr>
              <w:spacing w:after="0" w:line="240" w:lineRule="auto"/>
              <w:rPr/>
            </w:pPr>
            <w:r w:rsidDel="00000000" w:rsidR="00000000" w:rsidRPr="00000000">
              <w:rPr>
                <w:rtl w:val="0"/>
              </w:rPr>
              <w:t xml:space="preserve">ceramika dolna</w:t>
            </w:r>
          </w:p>
        </w:tc>
        <w:tc>
          <w:tcPr/>
          <w:p w:rsidR="00000000" w:rsidDel="00000000" w:rsidP="00000000" w:rsidRDefault="00000000" w:rsidRPr="00000000" w14:paraId="0000002C">
            <w:pPr>
              <w:spacing w:after="0" w:line="240" w:lineRule="auto"/>
              <w:rPr>
                <w:highlight w:val="white"/>
              </w:rPr>
            </w:pPr>
            <w:r w:rsidDel="00000000" w:rsidR="00000000" w:rsidRPr="00000000">
              <w:rPr>
                <w:highlight w:val="white"/>
                <w:rtl w:val="0"/>
              </w:rPr>
              <w:t xml:space="preserve">Al2O3, Au pokrycie 0,2 um</w:t>
            </w:r>
          </w:p>
        </w:tc>
      </w:tr>
      <w:tr>
        <w:trPr>
          <w:trHeight w:val="330" w:hRule="atLeast"/>
        </w:trPr>
        <w:tc>
          <w:tcPr>
            <w:vMerge w:val="continue"/>
            <w:vAlign w:val="center"/>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highlight w:val="white"/>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2E">
            <w:pPr>
              <w:spacing w:after="0" w:line="240" w:lineRule="auto"/>
              <w:rPr/>
            </w:pPr>
            <w:r w:rsidDel="00000000" w:rsidR="00000000" w:rsidRPr="00000000">
              <w:rPr>
                <w:rtl w:val="0"/>
              </w:rPr>
              <w:t xml:space="preserve">pellets</w:t>
            </w:r>
          </w:p>
        </w:tc>
        <w:tc>
          <w:tcPr/>
          <w:p w:rsidR="00000000" w:rsidDel="00000000" w:rsidP="00000000" w:rsidRDefault="00000000" w:rsidRPr="00000000" w14:paraId="0000002F">
            <w:pPr>
              <w:spacing w:after="0" w:line="240" w:lineRule="auto"/>
              <w:rPr>
                <w:highlight w:val="white"/>
              </w:rPr>
            </w:pPr>
            <w:r w:rsidDel="00000000" w:rsidR="00000000" w:rsidRPr="00000000">
              <w:rPr>
                <w:highlight w:val="white"/>
                <w:rtl w:val="0"/>
              </w:rPr>
              <w:t xml:space="preserve">BiTe z warstwą barierową Ni</w:t>
            </w:r>
          </w:p>
        </w:tc>
      </w:tr>
      <w:tr>
        <w:trPr>
          <w:trHeight w:val="343" w:hRule="atLeast"/>
        </w:trPr>
        <w:tc>
          <w:tcPr>
            <w:vMerge w:val="continue"/>
            <w:vAlign w:val="center"/>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highlight w:val="white"/>
              </w:rPr>
            </w:pPr>
            <w:r w:rsidDel="00000000" w:rsidR="00000000" w:rsidRPr="00000000">
              <w:rPr>
                <w:rtl w:val="0"/>
              </w:rPr>
            </w:r>
          </w:p>
        </w:tc>
        <w:tc>
          <w:tcPr>
            <w:tcBorders>
              <w:bottom w:color="000000" w:space="0" w:sz="4" w:val="single"/>
            </w:tcBorders>
            <w:tcMar>
              <w:top w:w="55.0" w:type="dxa"/>
              <w:left w:w="55.0" w:type="dxa"/>
              <w:bottom w:w="55.0" w:type="dxa"/>
              <w:right w:w="55.0" w:type="dxa"/>
            </w:tcMar>
          </w:tcPr>
          <w:p w:rsidR="00000000" w:rsidDel="00000000" w:rsidP="00000000" w:rsidRDefault="00000000" w:rsidRPr="00000000" w14:paraId="00000031">
            <w:pPr>
              <w:spacing w:after="0" w:line="240" w:lineRule="auto"/>
              <w:rPr/>
            </w:pPr>
            <w:r w:rsidDel="00000000" w:rsidR="00000000" w:rsidRPr="00000000">
              <w:rPr>
                <w:rtl w:val="0"/>
              </w:rPr>
              <w:t xml:space="preserve">przewody zaciskowe AWG32</w:t>
            </w:r>
          </w:p>
        </w:tc>
        <w:tc>
          <w:tcPr>
            <w:tcBorders>
              <w:bottom w:color="000000" w:space="0" w:sz="4" w:val="single"/>
            </w:tcBorders>
          </w:tcPr>
          <w:p w:rsidR="00000000" w:rsidDel="00000000" w:rsidP="00000000" w:rsidRDefault="00000000" w:rsidRPr="00000000" w14:paraId="00000032">
            <w:pPr>
              <w:spacing w:after="0" w:line="240" w:lineRule="auto"/>
              <w:rPr>
                <w:highlight w:val="white"/>
              </w:rPr>
            </w:pPr>
            <w:r w:rsidDel="00000000" w:rsidR="00000000" w:rsidRPr="00000000">
              <w:rPr>
                <w:highlight w:val="white"/>
                <w:rtl w:val="0"/>
              </w:rPr>
              <w:t xml:space="preserve">czysta miedź cynowana średnica 0,202 mm </w:t>
            </w:r>
          </w:p>
        </w:tc>
      </w:tr>
      <w:tr>
        <w:trPr>
          <w:trHeight w:val="330" w:hRule="atLeast"/>
        </w:trPr>
        <w:tc>
          <w:tcPr>
            <w:vMerge w:val="continue"/>
            <w:vAlign w:val="center"/>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highlight w:val="white"/>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34">
            <w:pPr>
              <w:spacing w:after="0" w:line="240" w:lineRule="auto"/>
              <w:rPr/>
            </w:pPr>
            <w:r w:rsidDel="00000000" w:rsidR="00000000" w:rsidRPr="00000000">
              <w:rPr>
                <w:rtl w:val="0"/>
              </w:rPr>
              <w:t xml:space="preserve">Lutowie do zmontowania chłodziarki</w:t>
            </w:r>
          </w:p>
        </w:tc>
        <w:tc>
          <w:tcPr/>
          <w:p w:rsidR="00000000" w:rsidDel="00000000" w:rsidP="00000000" w:rsidRDefault="00000000" w:rsidRPr="00000000" w14:paraId="00000035">
            <w:pPr>
              <w:spacing w:after="0" w:line="240" w:lineRule="auto"/>
              <w:rPr>
                <w:color w:val="000000"/>
                <w:highlight w:val="white"/>
              </w:rPr>
            </w:pPr>
            <w:r w:rsidDel="00000000" w:rsidR="00000000" w:rsidRPr="00000000">
              <w:rPr>
                <w:highlight w:val="white"/>
                <w:rtl w:val="0"/>
              </w:rPr>
              <w:t xml:space="preserve">Sn-Sb bezołowiowy RoHs Tmelt = 230 ° C</w:t>
            </w:r>
            <w:r w:rsidDel="00000000" w:rsidR="00000000" w:rsidRPr="00000000">
              <w:rPr>
                <w:rtl w:val="0"/>
              </w:rPr>
            </w:r>
          </w:p>
        </w:tc>
      </w:tr>
      <w:tr>
        <w:trPr>
          <w:trHeight w:val="330" w:hRule="atLeast"/>
        </w:trPr>
        <w:tc>
          <w:tcPr>
            <w:vMerge w:val="continue"/>
            <w:vAlign w:val="center"/>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highlight w:val="white"/>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37">
            <w:pPr>
              <w:spacing w:after="0" w:line="240" w:lineRule="auto"/>
              <w:rPr>
                <w:color w:val="000000"/>
              </w:rPr>
            </w:pPr>
            <w:r w:rsidDel="00000000" w:rsidR="00000000" w:rsidRPr="00000000">
              <w:rPr>
                <w:rtl w:val="0"/>
              </w:rPr>
              <w:t xml:space="preserve">Lutowie do przylutowania przewodów</w:t>
            </w:r>
            <w:r w:rsidDel="00000000" w:rsidR="00000000" w:rsidRPr="00000000">
              <w:rPr>
                <w:rtl w:val="0"/>
              </w:rPr>
            </w:r>
          </w:p>
        </w:tc>
        <w:tc>
          <w:tcPr/>
          <w:p w:rsidR="00000000" w:rsidDel="00000000" w:rsidP="00000000" w:rsidRDefault="00000000" w:rsidRPr="00000000" w14:paraId="00000038">
            <w:pPr>
              <w:spacing w:after="0" w:line="240" w:lineRule="auto"/>
              <w:rPr>
                <w:color w:val="000000"/>
                <w:highlight w:val="white"/>
              </w:rPr>
            </w:pPr>
            <w:r w:rsidDel="00000000" w:rsidR="00000000" w:rsidRPr="00000000">
              <w:rPr>
                <w:highlight w:val="white"/>
                <w:rtl w:val="0"/>
              </w:rPr>
              <w:t xml:space="preserve">Sn-Sb bezołowiowy RoHs Tmelt = 230 ° C</w:t>
            </w:r>
            <w:r w:rsidDel="00000000" w:rsidR="00000000" w:rsidRPr="00000000">
              <w:rPr>
                <w:rtl w:val="0"/>
              </w:rPr>
            </w:r>
          </w:p>
        </w:tc>
      </w:tr>
      <w:tr>
        <w:trPr>
          <w:trHeight w:val="330" w:hRule="atLeast"/>
        </w:trPr>
        <w:tc>
          <w:tcPr>
            <w:vMerge w:val="continue"/>
            <w:vAlign w:val="center"/>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highlight w:val="white"/>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3A">
            <w:pPr>
              <w:spacing w:after="0" w:line="240" w:lineRule="auto"/>
              <w:rPr/>
            </w:pPr>
            <w:r w:rsidDel="00000000" w:rsidR="00000000" w:rsidRPr="00000000">
              <w:rPr>
                <w:rtl w:val="0"/>
              </w:rPr>
              <w:t xml:space="preserve">podstawka</w:t>
            </w:r>
          </w:p>
        </w:tc>
        <w:tc>
          <w:tcPr/>
          <w:p w:rsidR="00000000" w:rsidDel="00000000" w:rsidP="00000000" w:rsidRDefault="00000000" w:rsidRPr="00000000" w14:paraId="0000003B">
            <w:pPr>
              <w:spacing w:after="0" w:line="240" w:lineRule="auto"/>
              <w:rPr>
                <w:color w:val="000000"/>
                <w:highlight w:val="white"/>
              </w:rPr>
            </w:pPr>
            <w:r w:rsidDel="00000000" w:rsidR="00000000" w:rsidRPr="00000000">
              <w:rPr>
                <w:highlight w:val="white"/>
                <w:rtl w:val="0"/>
              </w:rPr>
              <w:t xml:space="preserve">TO812.01</w:t>
            </w:r>
            <w:r w:rsidDel="00000000" w:rsidR="00000000" w:rsidRPr="00000000">
              <w:rPr>
                <w:rtl w:val="0"/>
              </w:rPr>
            </w:r>
          </w:p>
        </w:tc>
      </w:tr>
      <w:tr>
        <w:trPr>
          <w:trHeight w:val="330" w:hRule="atLeast"/>
        </w:trPr>
        <w:tc>
          <w:tcPr>
            <w:vMerge w:val="continue"/>
            <w:vAlign w:val="center"/>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highlight w:val="white"/>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3D">
            <w:pPr>
              <w:spacing w:after="0" w:line="240" w:lineRule="auto"/>
              <w:rPr>
                <w:color w:val="000000"/>
              </w:rPr>
            </w:pPr>
            <w:r w:rsidDel="00000000" w:rsidR="00000000" w:rsidRPr="00000000">
              <w:rPr>
                <w:rtl w:val="0"/>
              </w:rPr>
              <w:t xml:space="preserve">Montaż chłodziarki do podstawki</w:t>
            </w:r>
            <w:r w:rsidDel="00000000" w:rsidR="00000000" w:rsidRPr="00000000">
              <w:rPr>
                <w:rtl w:val="0"/>
              </w:rPr>
            </w:r>
          </w:p>
        </w:tc>
        <w:tc>
          <w:tcPr/>
          <w:p w:rsidR="00000000" w:rsidDel="00000000" w:rsidP="00000000" w:rsidRDefault="00000000" w:rsidRPr="00000000" w14:paraId="0000003E">
            <w:pPr>
              <w:spacing w:after="0" w:line="240" w:lineRule="auto"/>
              <w:rPr>
                <w:color w:val="000000"/>
                <w:highlight w:val="white"/>
              </w:rPr>
            </w:pPr>
            <w:r w:rsidDel="00000000" w:rsidR="00000000" w:rsidRPr="00000000">
              <w:rPr>
                <w:highlight w:val="white"/>
                <w:rtl w:val="0"/>
              </w:rPr>
              <w:t xml:space="preserve">bezołowiowe RoHs Tmelt = 206 ° C</w:t>
            </w:r>
            <w:r w:rsidDel="00000000" w:rsidR="00000000" w:rsidRPr="00000000">
              <w:rPr>
                <w:rtl w:val="0"/>
              </w:rPr>
            </w:r>
          </w:p>
        </w:tc>
      </w:tr>
      <w:tr>
        <w:trPr>
          <w:trHeight w:val="330" w:hRule="atLeast"/>
        </w:trPr>
        <w:tc>
          <w:tcPr>
            <w:vMerge w:val="continue"/>
            <w:vAlign w:val="center"/>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highlight w:val="white"/>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40">
            <w:pPr>
              <w:spacing w:after="0" w:line="240" w:lineRule="auto"/>
              <w:rPr/>
            </w:pPr>
            <w:r w:rsidDel="00000000" w:rsidR="00000000" w:rsidRPr="00000000">
              <w:rPr>
                <w:rtl w:val="0"/>
              </w:rPr>
              <w:t xml:space="preserve">wysokość</w:t>
            </w:r>
          </w:p>
        </w:tc>
        <w:tc>
          <w:tcPr/>
          <w:p w:rsidR="00000000" w:rsidDel="00000000" w:rsidP="00000000" w:rsidRDefault="00000000" w:rsidRPr="00000000" w14:paraId="00000041">
            <w:pPr>
              <w:spacing w:after="0" w:line="240" w:lineRule="auto"/>
              <w:rPr>
                <w:color w:val="000000"/>
                <w:highlight w:val="white"/>
              </w:rPr>
            </w:pPr>
            <w:r w:rsidDel="00000000" w:rsidR="00000000" w:rsidRPr="00000000">
              <w:rPr>
                <w:highlight w:val="white"/>
                <w:rtl w:val="0"/>
              </w:rPr>
              <w:t xml:space="preserve">3.70±0.15</w:t>
            </w:r>
            <w:r w:rsidDel="00000000" w:rsidR="00000000" w:rsidRPr="00000000">
              <w:rPr>
                <w:rtl w:val="0"/>
              </w:rPr>
            </w:r>
          </w:p>
        </w:tc>
      </w:tr>
      <w:tr>
        <w:trPr>
          <w:trHeight w:val="330" w:hRule="atLeast"/>
        </w:trPr>
        <w:tc>
          <w:tcPr>
            <w:vMerge w:val="continue"/>
            <w:vAlign w:val="center"/>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color w:val="000000"/>
                <w:highlight w:val="white"/>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43">
            <w:pPr>
              <w:spacing w:after="0" w:line="240" w:lineRule="auto"/>
              <w:rPr/>
            </w:pPr>
            <w:r w:rsidDel="00000000" w:rsidR="00000000" w:rsidRPr="00000000">
              <w:rPr>
                <w:rtl w:val="0"/>
              </w:rPr>
              <w:t xml:space="preserve">ΔTmax K </w:t>
            </w:r>
          </w:p>
        </w:tc>
        <w:tc>
          <w:tcPr/>
          <w:p w:rsidR="00000000" w:rsidDel="00000000" w:rsidP="00000000" w:rsidRDefault="00000000" w:rsidRPr="00000000" w14:paraId="00000044">
            <w:pPr>
              <w:spacing w:after="0" w:line="240" w:lineRule="auto"/>
              <w:rPr>
                <w:highlight w:val="white"/>
              </w:rPr>
            </w:pPr>
            <w:r w:rsidDel="00000000" w:rsidR="00000000" w:rsidRPr="00000000">
              <w:rPr>
                <w:highlight w:val="white"/>
                <w:rtl w:val="0"/>
              </w:rPr>
              <w:t xml:space="preserve">94±3</w:t>
            </w:r>
          </w:p>
        </w:tc>
      </w:tr>
      <w:tr>
        <w:trPr>
          <w:trHeight w:val="405" w:hRule="atLeast"/>
        </w:trPr>
        <w:tc>
          <w:tcPr>
            <w:vMerge w:val="continue"/>
            <w:vAlign w:val="center"/>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highlight w:val="white"/>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46">
            <w:pPr>
              <w:spacing w:after="0" w:line="240" w:lineRule="auto"/>
              <w:rPr/>
            </w:pPr>
            <w:r w:rsidDel="00000000" w:rsidR="00000000" w:rsidRPr="00000000">
              <w:rPr>
                <w:rtl w:val="0"/>
              </w:rPr>
              <w:t xml:space="preserve">Qmax W</w:t>
            </w:r>
          </w:p>
        </w:tc>
        <w:tc>
          <w:tcPr/>
          <w:p w:rsidR="00000000" w:rsidDel="00000000" w:rsidP="00000000" w:rsidRDefault="00000000" w:rsidRPr="00000000" w14:paraId="00000047">
            <w:pPr>
              <w:spacing w:after="0" w:line="240" w:lineRule="auto"/>
              <w:rPr>
                <w:highlight w:val="white"/>
              </w:rPr>
            </w:pPr>
            <w:r w:rsidDel="00000000" w:rsidR="00000000" w:rsidRPr="00000000">
              <w:rPr>
                <w:highlight w:val="white"/>
                <w:rtl w:val="0"/>
              </w:rPr>
              <w:t xml:space="preserve">0.4±0.04</w:t>
            </w:r>
          </w:p>
        </w:tc>
      </w:tr>
      <w:tr>
        <w:trPr>
          <w:trHeight w:val="1009" w:hRule="atLeast"/>
        </w:trPr>
        <w:tc>
          <w:tcPr>
            <w:vMerge w:val="continue"/>
            <w:vAlign w:val="center"/>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highlight w:val="white"/>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49">
            <w:pPr>
              <w:spacing w:after="0" w:line="240" w:lineRule="auto"/>
              <w:rPr/>
            </w:pPr>
            <w:r w:rsidDel="00000000" w:rsidR="00000000" w:rsidRPr="00000000">
              <w:rPr>
                <w:rtl w:val="0"/>
              </w:rPr>
              <w:t xml:space="preserve">Imax A</w:t>
            </w:r>
          </w:p>
          <w:p w:rsidR="00000000" w:rsidDel="00000000" w:rsidP="00000000" w:rsidRDefault="00000000" w:rsidRPr="00000000" w14:paraId="0000004A">
            <w:pPr>
              <w:spacing w:after="0" w:line="240" w:lineRule="auto"/>
              <w:rPr/>
            </w:pPr>
            <w:r w:rsidDel="00000000" w:rsidR="00000000" w:rsidRPr="00000000">
              <w:rPr>
                <w:rtl w:val="0"/>
              </w:rPr>
              <w:t xml:space="preserve">Umax V</w:t>
            </w:r>
          </w:p>
          <w:p w:rsidR="00000000" w:rsidDel="00000000" w:rsidP="00000000" w:rsidRDefault="00000000" w:rsidRPr="00000000" w14:paraId="0000004B">
            <w:pPr>
              <w:spacing w:after="0" w:line="240" w:lineRule="auto"/>
              <w:rPr/>
            </w:pPr>
            <w:r w:rsidDel="00000000" w:rsidR="00000000" w:rsidRPr="00000000">
              <w:rPr>
                <w:rtl w:val="0"/>
              </w:rPr>
              <w:t xml:space="preserve">ACR Ohm </w:t>
            </w:r>
          </w:p>
        </w:tc>
        <w:tc>
          <w:tcPr/>
          <w:p w:rsidR="00000000" w:rsidDel="00000000" w:rsidP="00000000" w:rsidRDefault="00000000" w:rsidRPr="00000000" w14:paraId="0000004C">
            <w:pPr>
              <w:spacing w:after="0" w:lineRule="auto"/>
              <w:ind w:left="117" w:firstLine="0"/>
              <w:rPr>
                <w:highlight w:val="white"/>
              </w:rPr>
            </w:pPr>
            <w:r w:rsidDel="00000000" w:rsidR="00000000" w:rsidRPr="00000000">
              <w:rPr>
                <w:highlight w:val="white"/>
                <w:rtl w:val="0"/>
              </w:rPr>
              <w:t xml:space="preserve">1.30+/-0,12</w:t>
            </w:r>
          </w:p>
          <w:p w:rsidR="00000000" w:rsidDel="00000000" w:rsidP="00000000" w:rsidRDefault="00000000" w:rsidRPr="00000000" w14:paraId="0000004D">
            <w:pPr>
              <w:spacing w:after="0" w:lineRule="auto"/>
              <w:ind w:left="117" w:firstLine="0"/>
              <w:rPr>
                <w:highlight w:val="white"/>
              </w:rPr>
            </w:pPr>
            <w:r w:rsidDel="00000000" w:rsidR="00000000" w:rsidRPr="00000000">
              <w:rPr>
                <w:highlight w:val="white"/>
                <w:rtl w:val="0"/>
              </w:rPr>
              <w:t xml:space="preserve">0.90+/-0,1</w:t>
            </w:r>
          </w:p>
          <w:p w:rsidR="00000000" w:rsidDel="00000000" w:rsidP="00000000" w:rsidRDefault="00000000" w:rsidRPr="00000000" w14:paraId="0000004E">
            <w:pPr>
              <w:spacing w:after="0" w:lineRule="auto"/>
              <w:ind w:left="117" w:firstLine="0"/>
              <w:rPr>
                <w:highlight w:val="white"/>
              </w:rPr>
            </w:pPr>
            <w:r w:rsidDel="00000000" w:rsidR="00000000" w:rsidRPr="00000000">
              <w:rPr>
                <w:highlight w:val="white"/>
                <w:rtl w:val="0"/>
              </w:rPr>
              <w:t xml:space="preserve">0.66±0.7</w:t>
            </w:r>
          </w:p>
        </w:tc>
      </w:tr>
      <w:tr>
        <w:trPr>
          <w:trHeight w:val="1009" w:hRule="atLeast"/>
        </w:trPr>
        <w:tc>
          <w:tcPr>
            <w:vMerge w:val="continue"/>
            <w:vAlign w:val="center"/>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highlight w:val="white"/>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50">
            <w:pPr>
              <w:spacing w:after="0" w:line="240" w:lineRule="auto"/>
              <w:rPr/>
            </w:pPr>
            <w:r w:rsidDel="00000000" w:rsidR="00000000" w:rsidRPr="00000000">
              <w:rPr>
                <w:rtl w:val="0"/>
              </w:rPr>
              <w:t xml:space="preserve">Podłączenie zasilania</w:t>
            </w:r>
          </w:p>
        </w:tc>
        <w:tc>
          <w:tcPr/>
          <w:p w:rsidR="00000000" w:rsidDel="00000000" w:rsidP="00000000" w:rsidRDefault="00000000" w:rsidRPr="00000000" w14:paraId="00000051">
            <w:pPr>
              <w:spacing w:after="0" w:lineRule="auto"/>
              <w:rPr>
                <w:highlight w:val="white"/>
              </w:rPr>
            </w:pPr>
            <w:r w:rsidDel="00000000" w:rsidR="00000000" w:rsidRPr="00000000">
              <w:rPr>
                <w:rtl w:val="0"/>
              </w:rPr>
              <w:t xml:space="preserve">2(+) i 8(-)</w:t>
            </w:r>
            <w:r w:rsidDel="00000000" w:rsidR="00000000" w:rsidRPr="00000000">
              <w:rPr>
                <w:rtl w:val="0"/>
              </w:rPr>
            </w:r>
          </w:p>
        </w:tc>
      </w:tr>
    </w:tbl>
    <w:p w:rsidR="00000000" w:rsidDel="00000000" w:rsidP="00000000" w:rsidRDefault="00000000" w:rsidRPr="00000000" w14:paraId="00000052">
      <w:pPr>
        <w:spacing w:after="0" w:line="360" w:lineRule="auto"/>
        <w:rPr>
          <w:b w:val="1"/>
          <w:u w:val="single"/>
        </w:rPr>
      </w:pPr>
      <w:r w:rsidDel="00000000" w:rsidR="00000000" w:rsidRPr="00000000">
        <w:rPr>
          <w:rtl w:val="0"/>
        </w:rPr>
      </w:r>
    </w:p>
    <w:tbl>
      <w:tblPr>
        <w:tblStyle w:val="Table3"/>
        <w:tblW w:w="10351.0" w:type="dxa"/>
        <w:jc w:val="left"/>
        <w:tblInd w:w="-71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690"/>
        <w:gridCol w:w="2409"/>
        <w:gridCol w:w="4252"/>
        <w:tblGridChange w:id="0">
          <w:tblGrid>
            <w:gridCol w:w="3690"/>
            <w:gridCol w:w="2409"/>
            <w:gridCol w:w="4252"/>
          </w:tblGrid>
        </w:tblGridChange>
      </w:tblGrid>
      <w:tr>
        <w:trPr>
          <w:trHeight w:val="405" w:hRule="atLeast"/>
        </w:trPr>
        <w:tc>
          <w:tcPr>
            <w:vMerge w:val="restart"/>
            <w:vAlign w:val="center"/>
          </w:tcPr>
          <w:p w:rsidR="00000000" w:rsidDel="00000000" w:rsidP="00000000" w:rsidRDefault="00000000" w:rsidRPr="00000000" w14:paraId="00000053">
            <w:pPr>
              <w:spacing w:after="0" w:line="240" w:lineRule="auto"/>
              <w:rPr>
                <w:b w:val="1"/>
              </w:rPr>
            </w:pPr>
            <w:r w:rsidDel="00000000" w:rsidR="00000000" w:rsidRPr="00000000">
              <w:rPr>
                <w:rFonts w:ascii="Arial" w:cs="Arial" w:eastAsia="Arial" w:hAnsi="Arial"/>
                <w:b w:val="1"/>
                <w:sz w:val="20"/>
                <w:szCs w:val="20"/>
                <w:highlight w:val="white"/>
                <w:rtl w:val="0"/>
              </w:rPr>
              <w:t xml:space="preserve">Standardowa podstawka TO8</w:t>
            </w:r>
            <w:r w:rsidDel="00000000" w:rsidR="00000000" w:rsidRPr="00000000">
              <w:rPr>
                <w:b w:val="1"/>
                <w:rtl w:val="0"/>
              </w:rPr>
              <w:t xml:space="preserve"> </w:t>
              <w:tab/>
            </w:r>
          </w:p>
        </w:tc>
        <w:tc>
          <w:tcPr>
            <w:tcMar>
              <w:top w:w="55.0" w:type="dxa"/>
              <w:left w:w="55.0" w:type="dxa"/>
              <w:bottom w:w="55.0" w:type="dxa"/>
              <w:right w:w="55.0" w:type="dxa"/>
            </w:tcMar>
          </w:tcPr>
          <w:p w:rsidR="00000000" w:rsidDel="00000000" w:rsidP="00000000" w:rsidRDefault="00000000" w:rsidRPr="00000000" w14:paraId="00000054">
            <w:pPr>
              <w:spacing w:after="0" w:line="240" w:lineRule="auto"/>
              <w:rPr/>
            </w:pPr>
            <w:r w:rsidDel="00000000" w:rsidR="00000000" w:rsidRPr="00000000">
              <w:rPr>
                <w:rtl w:val="0"/>
              </w:rPr>
              <w:t xml:space="preserve">Ilość pinów </w:t>
            </w:r>
          </w:p>
        </w:tc>
        <w:tc>
          <w:tcPr/>
          <w:p w:rsidR="00000000" w:rsidDel="00000000" w:rsidP="00000000" w:rsidRDefault="00000000" w:rsidRPr="00000000" w14:paraId="00000055">
            <w:pPr>
              <w:spacing w:after="0" w:line="240" w:lineRule="auto"/>
              <w:rPr/>
            </w:pPr>
            <w:r w:rsidDel="00000000" w:rsidR="00000000" w:rsidRPr="00000000">
              <w:rPr>
                <w:rtl w:val="0"/>
              </w:rPr>
              <w:t xml:space="preserve">12</w:t>
            </w:r>
          </w:p>
        </w:tc>
      </w:tr>
      <w:tr>
        <w:trPr>
          <w:trHeight w:val="405" w:hRule="atLeast"/>
        </w:trPr>
        <w:tc>
          <w:tcPr>
            <w:vMerge w:val="continue"/>
            <w:vAlign w:val="center"/>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57">
            <w:pPr>
              <w:spacing w:after="0" w:line="240" w:lineRule="auto"/>
              <w:rPr/>
            </w:pPr>
            <w:r w:rsidDel="00000000" w:rsidR="00000000" w:rsidRPr="00000000">
              <w:rPr>
                <w:rtl w:val="0"/>
              </w:rPr>
              <w:t xml:space="preserve">trzpień</w:t>
            </w:r>
          </w:p>
        </w:tc>
        <w:tc>
          <w:tcPr/>
          <w:p w:rsidR="00000000" w:rsidDel="00000000" w:rsidP="00000000" w:rsidRDefault="00000000" w:rsidRPr="00000000" w14:paraId="00000058">
            <w:pPr>
              <w:spacing w:after="0" w:line="240" w:lineRule="auto"/>
              <w:rPr/>
            </w:pPr>
            <w:r w:rsidDel="00000000" w:rsidR="00000000" w:rsidRPr="00000000">
              <w:rPr>
                <w:rtl w:val="0"/>
              </w:rPr>
              <w:t xml:space="preserve">4-40 UNC</w:t>
            </w:r>
          </w:p>
        </w:tc>
      </w:tr>
      <w:tr>
        <w:trPr>
          <w:trHeight w:val="405" w:hRule="atLeast"/>
        </w:trPr>
        <w:tc>
          <w:tcPr>
            <w:vMerge w:val="continue"/>
            <w:vAlign w:val="center"/>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5A">
            <w:pPr>
              <w:spacing w:after="0" w:line="240" w:lineRule="auto"/>
              <w:rPr/>
            </w:pPr>
            <w:r w:rsidDel="00000000" w:rsidR="00000000" w:rsidRPr="00000000">
              <w:rPr>
                <w:rtl w:val="0"/>
              </w:rPr>
              <w:t xml:space="preserve">Materiał </w:t>
            </w:r>
          </w:p>
        </w:tc>
        <w:tc>
          <w:tcPr/>
          <w:p w:rsidR="00000000" w:rsidDel="00000000" w:rsidP="00000000" w:rsidRDefault="00000000" w:rsidRPr="00000000" w14:paraId="0000005B">
            <w:pPr>
              <w:spacing w:after="0" w:line="240" w:lineRule="auto"/>
              <w:rPr/>
            </w:pPr>
            <w:r w:rsidDel="00000000" w:rsidR="00000000" w:rsidRPr="00000000">
              <w:rPr>
                <w:rtl w:val="0"/>
              </w:rPr>
              <w:t xml:space="preserve">Kovar</w:t>
            </w:r>
          </w:p>
        </w:tc>
      </w:tr>
      <w:tr>
        <w:trPr>
          <w:trHeight w:val="405" w:hRule="atLeast"/>
        </w:trPr>
        <w:tc>
          <w:tcPr>
            <w:vMerge w:val="continue"/>
            <w:vAlign w:val="center"/>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5D">
            <w:pPr>
              <w:spacing w:after="0" w:line="240" w:lineRule="auto"/>
              <w:rPr/>
            </w:pPr>
            <w:r w:rsidDel="00000000" w:rsidR="00000000" w:rsidRPr="00000000">
              <w:rPr>
                <w:rtl w:val="0"/>
              </w:rPr>
              <w:t xml:space="preserve">wysokość podstawki</w:t>
            </w:r>
          </w:p>
        </w:tc>
        <w:tc>
          <w:tcPr/>
          <w:p w:rsidR="00000000" w:rsidDel="00000000" w:rsidP="00000000" w:rsidRDefault="00000000" w:rsidRPr="00000000" w14:paraId="0000005E">
            <w:pPr>
              <w:spacing w:after="0" w:line="240" w:lineRule="auto"/>
              <w:rPr/>
            </w:pPr>
            <w:r w:rsidDel="00000000" w:rsidR="00000000" w:rsidRPr="00000000">
              <w:rPr>
                <w:rtl w:val="0"/>
              </w:rPr>
              <w:t xml:space="preserve">1, 52 mm</w:t>
            </w:r>
          </w:p>
        </w:tc>
      </w:tr>
      <w:tr>
        <w:trPr>
          <w:trHeight w:val="405" w:hRule="atLeast"/>
        </w:trPr>
        <w:tc>
          <w:tcPr>
            <w:vMerge w:val="continue"/>
            <w:vAlign w:val="center"/>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bottom w:color="000000" w:space="0" w:sz="4" w:val="single"/>
            </w:tcBorders>
            <w:tcMar>
              <w:top w:w="55.0" w:type="dxa"/>
              <w:left w:w="55.0" w:type="dxa"/>
              <w:bottom w:w="55.0" w:type="dxa"/>
              <w:right w:w="55.0" w:type="dxa"/>
            </w:tcMar>
          </w:tcPr>
          <w:p w:rsidR="00000000" w:rsidDel="00000000" w:rsidP="00000000" w:rsidRDefault="00000000" w:rsidRPr="00000000" w14:paraId="00000060">
            <w:pPr>
              <w:spacing w:after="0" w:line="240" w:lineRule="auto"/>
              <w:rPr>
                <w:highlight w:val="white"/>
              </w:rPr>
            </w:pPr>
            <w:r w:rsidDel="00000000" w:rsidR="00000000" w:rsidRPr="00000000">
              <w:rPr>
                <w:highlight w:val="white"/>
                <w:rtl w:val="0"/>
              </w:rPr>
              <w:t xml:space="preserve">wysokość pinów poniżej podstawki</w:t>
            </w:r>
          </w:p>
        </w:tc>
        <w:tc>
          <w:tcPr>
            <w:tcBorders>
              <w:bottom w:color="000000" w:space="0" w:sz="4" w:val="single"/>
            </w:tcBorders>
          </w:tcPr>
          <w:p w:rsidR="00000000" w:rsidDel="00000000" w:rsidP="00000000" w:rsidRDefault="00000000" w:rsidRPr="00000000" w14:paraId="00000061">
            <w:pPr>
              <w:spacing w:after="0" w:line="240" w:lineRule="auto"/>
              <w:rPr>
                <w:highlight w:val="white"/>
              </w:rPr>
            </w:pPr>
            <w:r w:rsidDel="00000000" w:rsidR="00000000" w:rsidRPr="00000000">
              <w:rPr>
                <w:highlight w:val="white"/>
                <w:rtl w:val="0"/>
              </w:rPr>
              <w:t xml:space="preserve">7.9±0.3mm</w:t>
            </w:r>
          </w:p>
        </w:tc>
      </w:tr>
      <w:tr>
        <w:trPr>
          <w:trHeight w:val="405" w:hRule="atLeast"/>
        </w:trPr>
        <w:tc>
          <w:tcPr>
            <w:vMerge w:val="continue"/>
            <w:vAlign w:val="center"/>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highlight w:val="white"/>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63">
            <w:pPr>
              <w:spacing w:after="0" w:line="240" w:lineRule="auto"/>
              <w:rPr>
                <w:highlight w:val="white"/>
              </w:rPr>
            </w:pPr>
            <w:r w:rsidDel="00000000" w:rsidR="00000000" w:rsidRPr="00000000">
              <w:rPr>
                <w:highlight w:val="white"/>
                <w:rtl w:val="0"/>
              </w:rPr>
              <w:t xml:space="preserve">wysokość pinów powyżej podstawki</w:t>
            </w:r>
          </w:p>
        </w:tc>
        <w:tc>
          <w:tcPr/>
          <w:p w:rsidR="00000000" w:rsidDel="00000000" w:rsidP="00000000" w:rsidRDefault="00000000" w:rsidRPr="00000000" w14:paraId="00000064">
            <w:pPr>
              <w:spacing w:after="0" w:line="240" w:lineRule="auto"/>
              <w:rPr>
                <w:highlight w:val="white"/>
              </w:rPr>
            </w:pPr>
            <w:r w:rsidDel="00000000" w:rsidR="00000000" w:rsidRPr="00000000">
              <w:rPr>
                <w:highlight w:val="white"/>
                <w:rtl w:val="0"/>
              </w:rPr>
              <w:t xml:space="preserve">2.54mm</w:t>
            </w:r>
          </w:p>
        </w:tc>
      </w:tr>
      <w:tr>
        <w:trPr>
          <w:trHeight w:val="405" w:hRule="atLeast"/>
        </w:trPr>
        <w:tc>
          <w:tcPr>
            <w:vMerge w:val="continue"/>
            <w:vAlign w:val="center"/>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highlight w:val="white"/>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66">
            <w:pPr>
              <w:spacing w:after="0" w:line="240" w:lineRule="auto"/>
              <w:rPr>
                <w:highlight w:val="white"/>
              </w:rPr>
            </w:pPr>
            <w:r w:rsidDel="00000000" w:rsidR="00000000" w:rsidRPr="00000000">
              <w:rPr>
                <w:highlight w:val="white"/>
                <w:rtl w:val="0"/>
              </w:rPr>
              <w:t xml:space="preserve">średnica pinów</w:t>
            </w:r>
          </w:p>
        </w:tc>
        <w:tc>
          <w:tcPr/>
          <w:p w:rsidR="00000000" w:rsidDel="00000000" w:rsidP="00000000" w:rsidRDefault="00000000" w:rsidRPr="00000000" w14:paraId="00000067">
            <w:pPr>
              <w:spacing w:after="0" w:line="240" w:lineRule="auto"/>
              <w:rPr>
                <w:highlight w:val="white"/>
              </w:rPr>
            </w:pPr>
            <w:r w:rsidDel="00000000" w:rsidR="00000000" w:rsidRPr="00000000">
              <w:rPr>
                <w:highlight w:val="white"/>
                <w:rtl w:val="0"/>
              </w:rPr>
              <w:t xml:space="preserve">Ø0.46±0.05</w:t>
            </w:r>
          </w:p>
        </w:tc>
      </w:tr>
      <w:tr>
        <w:trPr>
          <w:trHeight w:val="405" w:hRule="atLeast"/>
        </w:trPr>
        <w:tc>
          <w:tcPr>
            <w:vMerge w:val="continue"/>
            <w:vAlign w:val="center"/>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highlight w:val="white"/>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69">
            <w:pPr>
              <w:spacing w:after="0" w:line="240" w:lineRule="auto"/>
              <w:rPr/>
            </w:pPr>
            <w:r w:rsidDel="00000000" w:rsidR="00000000" w:rsidRPr="00000000">
              <w:rPr>
                <w:rtl w:val="0"/>
              </w:rPr>
              <w:t xml:space="preserve">średnica podstawki </w:t>
            </w:r>
          </w:p>
        </w:tc>
        <w:tc>
          <w:tcPr/>
          <w:p w:rsidR="00000000" w:rsidDel="00000000" w:rsidP="00000000" w:rsidRDefault="00000000" w:rsidRPr="00000000" w14:paraId="0000006A">
            <w:pPr>
              <w:spacing w:after="0" w:line="240" w:lineRule="auto"/>
              <w:rPr/>
            </w:pPr>
            <w:r w:rsidDel="00000000" w:rsidR="00000000" w:rsidRPr="00000000">
              <w:rPr>
                <w:rtl w:val="0"/>
              </w:rPr>
              <w:t xml:space="preserve">Ø15.2 mm</w:t>
            </w:r>
          </w:p>
        </w:tc>
      </w:tr>
      <w:tr>
        <w:trPr>
          <w:trHeight w:val="405" w:hRule="atLeast"/>
        </w:trPr>
        <w:tc>
          <w:tcPr>
            <w:vMerge w:val="continue"/>
            <w:vAlign w:val="center"/>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6C">
            <w:pPr>
              <w:spacing w:after="0" w:line="240" w:lineRule="auto"/>
              <w:rPr/>
            </w:pPr>
            <w:r w:rsidDel="00000000" w:rsidR="00000000" w:rsidRPr="00000000">
              <w:rPr>
                <w:rtl w:val="0"/>
              </w:rPr>
              <w:t xml:space="preserve">Pokrycie </w:t>
            </w:r>
          </w:p>
        </w:tc>
        <w:tc>
          <w:tcPr/>
          <w:p w:rsidR="00000000" w:rsidDel="00000000" w:rsidP="00000000" w:rsidRDefault="00000000" w:rsidRPr="00000000" w14:paraId="0000006D">
            <w:pPr>
              <w:spacing w:after="0" w:line="240" w:lineRule="auto"/>
              <w:rPr/>
            </w:pPr>
            <w:r w:rsidDel="00000000" w:rsidR="00000000" w:rsidRPr="00000000">
              <w:rPr>
                <w:rtl w:val="0"/>
              </w:rPr>
              <w:t xml:space="preserve">Złoto grubości 1,27um na podkładzie Ni</w:t>
            </w:r>
          </w:p>
        </w:tc>
      </w:tr>
      <w:tr>
        <w:trPr>
          <w:trHeight w:val="405" w:hRule="atLeast"/>
        </w:trPr>
        <w:tc>
          <w:tcPr>
            <w:vMerge w:val="restart"/>
            <w:vAlign w:val="center"/>
          </w:tcPr>
          <w:p w:rsidR="00000000" w:rsidDel="00000000" w:rsidP="00000000" w:rsidRDefault="00000000" w:rsidRPr="00000000" w14:paraId="0000006E">
            <w:pPr>
              <w:spacing w:after="0" w:line="240" w:lineRule="auto"/>
              <w:rPr>
                <w:b w:val="1"/>
              </w:rPr>
            </w:pPr>
            <w:bookmarkStart w:colFirst="0" w:colLast="0" w:name="_heading=h.3znysh7" w:id="3"/>
            <w:bookmarkEnd w:id="3"/>
            <w:r w:rsidDel="00000000" w:rsidR="00000000" w:rsidRPr="00000000">
              <w:rPr>
                <w:b w:val="1"/>
                <w:rtl w:val="0"/>
              </w:rPr>
              <w:t xml:space="preserve">Chłodziarka termoelektryczna 4TE na podstawce TO8 12 pin</w:t>
            </w:r>
          </w:p>
        </w:tc>
        <w:tc>
          <w:tcPr>
            <w:tcMar>
              <w:top w:w="55.0" w:type="dxa"/>
              <w:left w:w="55.0" w:type="dxa"/>
              <w:bottom w:w="55.0" w:type="dxa"/>
              <w:right w:w="55.0" w:type="dxa"/>
            </w:tcMar>
          </w:tcPr>
          <w:p w:rsidR="00000000" w:rsidDel="00000000" w:rsidP="00000000" w:rsidRDefault="00000000" w:rsidRPr="00000000" w14:paraId="0000006F">
            <w:pPr>
              <w:spacing w:after="0" w:line="240" w:lineRule="auto"/>
              <w:rPr/>
            </w:pPr>
            <w:r w:rsidDel="00000000" w:rsidR="00000000" w:rsidRPr="00000000">
              <w:rPr>
                <w:rtl w:val="0"/>
              </w:rPr>
              <w:t xml:space="preserve">Top Ceramics (zimna strona)</w:t>
            </w:r>
          </w:p>
        </w:tc>
        <w:tc>
          <w:tcPr/>
          <w:p w:rsidR="00000000" w:rsidDel="00000000" w:rsidP="00000000" w:rsidRDefault="00000000" w:rsidRPr="00000000" w14:paraId="00000070">
            <w:pPr>
              <w:spacing w:after="0" w:line="240" w:lineRule="auto"/>
              <w:rPr/>
            </w:pPr>
            <w:r w:rsidDel="00000000" w:rsidR="00000000" w:rsidRPr="00000000">
              <w:rPr>
                <w:rtl w:val="0"/>
              </w:rPr>
              <w:t xml:space="preserve">Al2O3 polerowane Ra&lt;0.1,</w:t>
              <w:br w:type="textWrapping"/>
              <w:t xml:space="preserve">bez metalizacji, wymiary 2,6x2,6 mm ±0,1mm</w:t>
            </w:r>
          </w:p>
        </w:tc>
      </w:tr>
      <w:tr>
        <w:trPr>
          <w:trHeight w:val="405" w:hRule="atLeast"/>
        </w:trPr>
        <w:tc>
          <w:tcPr>
            <w:vMerge w:val="continue"/>
            <w:vAlign w:val="center"/>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72">
            <w:pPr>
              <w:spacing w:after="0" w:line="240" w:lineRule="auto"/>
              <w:rPr/>
            </w:pPr>
            <w:r w:rsidDel="00000000" w:rsidR="00000000" w:rsidRPr="00000000">
              <w:rPr>
                <w:rtl w:val="0"/>
              </w:rPr>
              <w:t xml:space="preserve">Ceramika środkowa</w:t>
            </w:r>
          </w:p>
        </w:tc>
        <w:tc>
          <w:tcPr/>
          <w:p w:rsidR="00000000" w:rsidDel="00000000" w:rsidP="00000000" w:rsidRDefault="00000000" w:rsidRPr="00000000" w14:paraId="00000073">
            <w:pPr>
              <w:spacing w:after="0" w:line="240" w:lineRule="auto"/>
              <w:rPr/>
            </w:pPr>
            <w:r w:rsidDel="00000000" w:rsidR="00000000" w:rsidRPr="00000000">
              <w:rPr>
                <w:rtl w:val="0"/>
              </w:rPr>
              <w:t xml:space="preserve">Al2O3 z VIAS</w:t>
            </w:r>
          </w:p>
        </w:tc>
      </w:tr>
      <w:tr>
        <w:trPr>
          <w:trHeight w:val="405" w:hRule="atLeast"/>
        </w:trPr>
        <w:tc>
          <w:tcPr>
            <w:vMerge w:val="continue"/>
            <w:vAlign w:val="center"/>
          </w:tcPr>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75">
            <w:pPr>
              <w:spacing w:after="0" w:line="240" w:lineRule="auto"/>
              <w:rPr/>
            </w:pPr>
            <w:r w:rsidDel="00000000" w:rsidR="00000000" w:rsidRPr="00000000">
              <w:rPr>
                <w:rtl w:val="0"/>
              </w:rPr>
              <w:t xml:space="preserve">ceramika dolna</w:t>
            </w:r>
          </w:p>
        </w:tc>
        <w:tc>
          <w:tcPr/>
          <w:p w:rsidR="00000000" w:rsidDel="00000000" w:rsidP="00000000" w:rsidRDefault="00000000" w:rsidRPr="00000000" w14:paraId="00000076">
            <w:pPr>
              <w:spacing w:after="0" w:line="240" w:lineRule="auto"/>
              <w:rPr/>
            </w:pPr>
            <w:r w:rsidDel="00000000" w:rsidR="00000000" w:rsidRPr="00000000">
              <w:rPr>
                <w:rtl w:val="0"/>
              </w:rPr>
              <w:t xml:space="preserve">Al2O3 Au pokrycie 0,2 um, wymiary 7,4x7,4mm ±0,1mm</w:t>
            </w:r>
          </w:p>
        </w:tc>
      </w:tr>
      <w:tr>
        <w:trPr>
          <w:trHeight w:val="405" w:hRule="atLeast"/>
        </w:trPr>
        <w:tc>
          <w:tcPr>
            <w:vMerge w:val="continue"/>
            <w:vAlign w:val="center"/>
          </w:tcPr>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78">
            <w:pPr>
              <w:spacing w:after="0" w:line="240" w:lineRule="auto"/>
              <w:rPr/>
            </w:pPr>
            <w:r w:rsidDel="00000000" w:rsidR="00000000" w:rsidRPr="00000000">
              <w:rPr>
                <w:rtl w:val="0"/>
              </w:rPr>
              <w:t xml:space="preserve">pellets</w:t>
            </w:r>
          </w:p>
        </w:tc>
        <w:tc>
          <w:tcPr/>
          <w:p w:rsidR="00000000" w:rsidDel="00000000" w:rsidP="00000000" w:rsidRDefault="00000000" w:rsidRPr="00000000" w14:paraId="00000079">
            <w:pPr>
              <w:spacing w:after="0" w:line="240" w:lineRule="auto"/>
              <w:rPr/>
            </w:pPr>
            <w:r w:rsidDel="00000000" w:rsidR="00000000" w:rsidRPr="00000000">
              <w:rPr>
                <w:rtl w:val="0"/>
              </w:rPr>
              <w:t xml:space="preserve">BiTez warstwą barierową Ni</w:t>
            </w:r>
          </w:p>
        </w:tc>
      </w:tr>
      <w:tr>
        <w:trPr>
          <w:trHeight w:val="405" w:hRule="atLeast"/>
        </w:trPr>
        <w:tc>
          <w:tcPr>
            <w:vMerge w:val="continue"/>
            <w:vAlign w:val="center"/>
          </w:tcPr>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bottom w:color="000000" w:space="0" w:sz="4" w:val="single"/>
            </w:tcBorders>
            <w:tcMar>
              <w:top w:w="55.0" w:type="dxa"/>
              <w:left w:w="55.0" w:type="dxa"/>
              <w:bottom w:w="55.0" w:type="dxa"/>
              <w:right w:w="55.0" w:type="dxa"/>
            </w:tcMar>
          </w:tcPr>
          <w:p w:rsidR="00000000" w:rsidDel="00000000" w:rsidP="00000000" w:rsidRDefault="00000000" w:rsidRPr="00000000" w14:paraId="0000007B">
            <w:pPr>
              <w:spacing w:after="0" w:line="240" w:lineRule="auto"/>
              <w:rPr/>
            </w:pPr>
            <w:r w:rsidDel="00000000" w:rsidR="00000000" w:rsidRPr="00000000">
              <w:rPr>
                <w:rtl w:val="0"/>
              </w:rPr>
              <w:t xml:space="preserve">przewody zaciskowe AWG30</w:t>
            </w:r>
          </w:p>
        </w:tc>
        <w:tc>
          <w:tcPr>
            <w:tcBorders>
              <w:bottom w:color="000000" w:space="0" w:sz="4" w:val="single"/>
            </w:tcBorders>
          </w:tcPr>
          <w:p w:rsidR="00000000" w:rsidDel="00000000" w:rsidP="00000000" w:rsidRDefault="00000000" w:rsidRPr="00000000" w14:paraId="0000007C">
            <w:pPr>
              <w:spacing w:after="0" w:line="240" w:lineRule="auto"/>
              <w:rPr/>
            </w:pPr>
            <w:r w:rsidDel="00000000" w:rsidR="00000000" w:rsidRPr="00000000">
              <w:rPr>
                <w:rtl w:val="0"/>
              </w:rPr>
              <w:t xml:space="preserve">Cu Czysta miedź cynowana średnica 0,202 mm </w:t>
            </w:r>
          </w:p>
          <w:p w:rsidR="00000000" w:rsidDel="00000000" w:rsidP="00000000" w:rsidRDefault="00000000" w:rsidRPr="00000000" w14:paraId="0000007D">
            <w:pPr>
              <w:spacing w:after="0" w:line="240" w:lineRule="auto"/>
              <w:rPr/>
            </w:pPr>
            <w:r w:rsidDel="00000000" w:rsidR="00000000" w:rsidRPr="00000000">
              <w:rPr>
                <w:rtl w:val="0"/>
              </w:rPr>
            </w:r>
          </w:p>
        </w:tc>
      </w:tr>
      <w:tr>
        <w:trPr>
          <w:trHeight w:val="405" w:hRule="atLeast"/>
        </w:trPr>
        <w:tc>
          <w:tcPr>
            <w:vMerge w:val="continue"/>
            <w:vAlign w:val="center"/>
          </w:tcPr>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7F">
            <w:pPr>
              <w:spacing w:after="0" w:line="240" w:lineRule="auto"/>
              <w:rPr/>
            </w:pPr>
            <w:r w:rsidDel="00000000" w:rsidR="00000000" w:rsidRPr="00000000">
              <w:rPr>
                <w:rtl w:val="0"/>
              </w:rPr>
              <w:t xml:space="preserve">Lutowie do zmontowania chłodziarki</w:t>
            </w:r>
          </w:p>
        </w:tc>
        <w:tc>
          <w:tcPr/>
          <w:p w:rsidR="00000000" w:rsidDel="00000000" w:rsidP="00000000" w:rsidRDefault="00000000" w:rsidRPr="00000000" w14:paraId="00000080">
            <w:pPr>
              <w:spacing w:after="0" w:line="240" w:lineRule="auto"/>
              <w:rPr/>
            </w:pPr>
            <w:r w:rsidDel="00000000" w:rsidR="00000000" w:rsidRPr="00000000">
              <w:rPr>
                <w:rtl w:val="0"/>
              </w:rPr>
              <w:t xml:space="preserve">Sn-Sb bezołowiowy RoHs Tmelt = 230 ° C</w:t>
            </w:r>
          </w:p>
        </w:tc>
      </w:tr>
      <w:tr>
        <w:trPr>
          <w:trHeight w:val="405" w:hRule="atLeast"/>
        </w:trPr>
        <w:tc>
          <w:tcPr>
            <w:vMerge w:val="continue"/>
            <w:vAlign w:val="center"/>
          </w:tcPr>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82">
            <w:pPr>
              <w:spacing w:after="0" w:line="240" w:lineRule="auto"/>
              <w:rPr/>
            </w:pPr>
            <w:r w:rsidDel="00000000" w:rsidR="00000000" w:rsidRPr="00000000">
              <w:rPr>
                <w:rtl w:val="0"/>
              </w:rPr>
              <w:t xml:space="preserve">Lutowie do przylutowania przewodów</w:t>
            </w:r>
          </w:p>
        </w:tc>
        <w:tc>
          <w:tcPr/>
          <w:p w:rsidR="00000000" w:rsidDel="00000000" w:rsidP="00000000" w:rsidRDefault="00000000" w:rsidRPr="00000000" w14:paraId="00000083">
            <w:pPr>
              <w:spacing w:after="0" w:line="240" w:lineRule="auto"/>
              <w:rPr/>
            </w:pPr>
            <w:r w:rsidDel="00000000" w:rsidR="00000000" w:rsidRPr="00000000">
              <w:rPr>
                <w:rtl w:val="0"/>
              </w:rPr>
              <w:t xml:space="preserve">Sn-Sb bezołowiowy RoHs Tmelt = 230 ° C</w:t>
            </w:r>
          </w:p>
        </w:tc>
      </w:tr>
      <w:tr>
        <w:trPr>
          <w:trHeight w:val="405" w:hRule="atLeast"/>
        </w:trPr>
        <w:tc>
          <w:tcPr>
            <w:vMerge w:val="continue"/>
            <w:vAlign w:val="center"/>
          </w:tcPr>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85">
            <w:pPr>
              <w:spacing w:after="0" w:line="240" w:lineRule="auto"/>
              <w:rPr/>
            </w:pPr>
            <w:r w:rsidDel="00000000" w:rsidR="00000000" w:rsidRPr="00000000">
              <w:rPr>
                <w:rtl w:val="0"/>
              </w:rPr>
              <w:t xml:space="preserve">podstawka</w:t>
            </w:r>
          </w:p>
        </w:tc>
        <w:tc>
          <w:tcPr/>
          <w:p w:rsidR="00000000" w:rsidDel="00000000" w:rsidP="00000000" w:rsidRDefault="00000000" w:rsidRPr="00000000" w14:paraId="00000086">
            <w:pPr>
              <w:spacing w:after="0" w:line="240" w:lineRule="auto"/>
              <w:rPr/>
            </w:pPr>
            <w:r w:rsidDel="00000000" w:rsidR="00000000" w:rsidRPr="00000000">
              <w:rPr>
                <w:rtl w:val="0"/>
              </w:rPr>
              <w:t xml:space="preserve">TO812</w:t>
            </w:r>
          </w:p>
        </w:tc>
      </w:tr>
      <w:tr>
        <w:trPr>
          <w:trHeight w:val="405" w:hRule="atLeast"/>
        </w:trPr>
        <w:tc>
          <w:tcPr>
            <w:vMerge w:val="continue"/>
            <w:vAlign w:val="center"/>
          </w:tcPr>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88">
            <w:pPr>
              <w:spacing w:after="0" w:line="240" w:lineRule="auto"/>
              <w:rPr/>
            </w:pPr>
            <w:r w:rsidDel="00000000" w:rsidR="00000000" w:rsidRPr="00000000">
              <w:rPr>
                <w:rtl w:val="0"/>
              </w:rPr>
              <w:t xml:space="preserve">Montaż chłodziarki do podstawki</w:t>
            </w:r>
          </w:p>
        </w:tc>
        <w:tc>
          <w:tcPr/>
          <w:p w:rsidR="00000000" w:rsidDel="00000000" w:rsidP="00000000" w:rsidRDefault="00000000" w:rsidRPr="00000000" w14:paraId="00000089">
            <w:pPr>
              <w:spacing w:after="0" w:line="240" w:lineRule="auto"/>
              <w:rPr/>
            </w:pPr>
            <w:r w:rsidDel="00000000" w:rsidR="00000000" w:rsidRPr="00000000">
              <w:rPr>
                <w:rtl w:val="0"/>
              </w:rPr>
              <w:t xml:space="preserve">Lutowanie, Tmelt = 206 ° C, Sn-Ag-In bezołowiowe, RoHS</w:t>
            </w:r>
          </w:p>
        </w:tc>
      </w:tr>
      <w:tr>
        <w:trPr>
          <w:trHeight w:val="405" w:hRule="atLeast"/>
        </w:trPr>
        <w:tc>
          <w:tcPr>
            <w:vMerge w:val="continue"/>
            <w:vAlign w:val="center"/>
          </w:tcPr>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8B">
            <w:pPr>
              <w:spacing w:after="0" w:line="240" w:lineRule="auto"/>
              <w:rPr/>
            </w:pPr>
            <w:r w:rsidDel="00000000" w:rsidR="00000000" w:rsidRPr="00000000">
              <w:rPr>
                <w:rtl w:val="0"/>
              </w:rPr>
              <w:t xml:space="preserve">wysokość [mm]</w:t>
            </w:r>
          </w:p>
        </w:tc>
        <w:tc>
          <w:tcPr/>
          <w:p w:rsidR="00000000" w:rsidDel="00000000" w:rsidP="00000000" w:rsidRDefault="00000000" w:rsidRPr="00000000" w14:paraId="0000008C">
            <w:pPr>
              <w:spacing w:after="0" w:line="240" w:lineRule="auto"/>
              <w:rPr/>
            </w:pPr>
            <w:r w:rsidDel="00000000" w:rsidR="00000000" w:rsidRPr="00000000">
              <w:rPr>
                <w:rtl w:val="0"/>
              </w:rPr>
              <w:t xml:space="preserve">6.9±0.25 </w:t>
            </w:r>
          </w:p>
        </w:tc>
      </w:tr>
      <w:tr>
        <w:trPr>
          <w:trHeight w:val="405" w:hRule="atLeast"/>
        </w:trPr>
        <w:tc>
          <w:tcPr>
            <w:vMerge w:val="continue"/>
            <w:vAlign w:val="center"/>
          </w:tcPr>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8E">
            <w:pPr>
              <w:spacing w:after="0" w:line="240" w:lineRule="auto"/>
              <w:rPr/>
            </w:pPr>
            <w:r w:rsidDel="00000000" w:rsidR="00000000" w:rsidRPr="00000000">
              <w:rPr>
                <w:rtl w:val="0"/>
              </w:rPr>
              <w:t xml:space="preserve">ΔTmax [K] </w:t>
            </w:r>
          </w:p>
        </w:tc>
        <w:tc>
          <w:tcPr/>
          <w:p w:rsidR="00000000" w:rsidDel="00000000" w:rsidP="00000000" w:rsidRDefault="00000000" w:rsidRPr="00000000" w14:paraId="0000008F">
            <w:pPr>
              <w:spacing w:after="0" w:line="240" w:lineRule="auto"/>
              <w:rPr/>
            </w:pPr>
            <w:r w:rsidDel="00000000" w:rsidR="00000000" w:rsidRPr="00000000">
              <w:rPr>
                <w:rtl w:val="0"/>
              </w:rPr>
              <w:t xml:space="preserve">127±3</w:t>
            </w:r>
          </w:p>
        </w:tc>
      </w:tr>
      <w:tr>
        <w:trPr>
          <w:trHeight w:val="405" w:hRule="atLeast"/>
        </w:trPr>
        <w:tc>
          <w:tcPr>
            <w:vMerge w:val="continue"/>
            <w:vAlign w:val="center"/>
          </w:tcPr>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91">
            <w:pPr>
              <w:spacing w:after="0" w:line="240" w:lineRule="auto"/>
              <w:rPr/>
            </w:pPr>
            <w:r w:rsidDel="00000000" w:rsidR="00000000" w:rsidRPr="00000000">
              <w:rPr>
                <w:rtl w:val="0"/>
              </w:rPr>
              <w:t xml:space="preserve">Qmax [W]</w:t>
            </w:r>
          </w:p>
        </w:tc>
        <w:tc>
          <w:tcPr/>
          <w:p w:rsidR="00000000" w:rsidDel="00000000" w:rsidP="00000000" w:rsidRDefault="00000000" w:rsidRPr="00000000" w14:paraId="00000092">
            <w:pPr>
              <w:spacing w:after="0" w:line="240" w:lineRule="auto"/>
              <w:rPr/>
            </w:pPr>
            <w:r w:rsidDel="00000000" w:rsidR="00000000" w:rsidRPr="00000000">
              <w:rPr>
                <w:rtl w:val="0"/>
              </w:rPr>
              <w:t xml:space="preserve">0.30±0.03</w:t>
            </w:r>
          </w:p>
        </w:tc>
      </w:tr>
      <w:tr>
        <w:trPr>
          <w:trHeight w:val="405" w:hRule="atLeast"/>
        </w:trPr>
        <w:tc>
          <w:tcPr>
            <w:vMerge w:val="continue"/>
            <w:vAlign w:val="center"/>
          </w:tcPr>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94">
            <w:pPr>
              <w:spacing w:after="0" w:line="240" w:lineRule="auto"/>
              <w:rPr/>
            </w:pPr>
            <w:r w:rsidDel="00000000" w:rsidR="00000000" w:rsidRPr="00000000">
              <w:rPr>
                <w:rtl w:val="0"/>
              </w:rPr>
              <w:t xml:space="preserve">Imax [A]</w:t>
            </w:r>
          </w:p>
          <w:p w:rsidR="00000000" w:rsidDel="00000000" w:rsidP="00000000" w:rsidRDefault="00000000" w:rsidRPr="00000000" w14:paraId="00000095">
            <w:pPr>
              <w:spacing w:after="0" w:line="240" w:lineRule="auto"/>
              <w:rPr/>
            </w:pPr>
            <w:r w:rsidDel="00000000" w:rsidR="00000000" w:rsidRPr="00000000">
              <w:rPr>
                <w:rtl w:val="0"/>
              </w:rPr>
              <w:t xml:space="preserve">Umax [V]</w:t>
            </w:r>
          </w:p>
          <w:p w:rsidR="00000000" w:rsidDel="00000000" w:rsidP="00000000" w:rsidRDefault="00000000" w:rsidRPr="00000000" w14:paraId="00000096">
            <w:pPr>
              <w:spacing w:after="0" w:line="240" w:lineRule="auto"/>
              <w:rPr/>
            </w:pPr>
            <w:r w:rsidDel="00000000" w:rsidR="00000000" w:rsidRPr="00000000">
              <w:rPr>
                <w:rtl w:val="0"/>
              </w:rPr>
              <w:t xml:space="preserve">ACR [Ohm]</w:t>
            </w:r>
          </w:p>
        </w:tc>
        <w:tc>
          <w:tcPr/>
          <w:p w:rsidR="00000000" w:rsidDel="00000000" w:rsidP="00000000" w:rsidRDefault="00000000" w:rsidRPr="00000000" w14:paraId="00000097">
            <w:pPr>
              <w:spacing w:after="0" w:lineRule="auto"/>
              <w:ind w:left="117" w:firstLine="0"/>
              <w:rPr/>
            </w:pPr>
            <w:r w:rsidDel="00000000" w:rsidR="00000000" w:rsidRPr="00000000">
              <w:rPr>
                <w:rtl w:val="0"/>
              </w:rPr>
              <w:t xml:space="preserve">0,5±0,05</w:t>
            </w:r>
          </w:p>
          <w:p w:rsidR="00000000" w:rsidDel="00000000" w:rsidP="00000000" w:rsidRDefault="00000000" w:rsidRPr="00000000" w14:paraId="00000098">
            <w:pPr>
              <w:spacing w:after="0" w:lineRule="auto"/>
              <w:ind w:left="117" w:firstLine="0"/>
              <w:rPr/>
            </w:pPr>
            <w:r w:rsidDel="00000000" w:rsidR="00000000" w:rsidRPr="00000000">
              <w:rPr>
                <w:rtl w:val="0"/>
              </w:rPr>
              <w:t xml:space="preserve">8,4±0,84</w:t>
            </w:r>
          </w:p>
          <w:p w:rsidR="00000000" w:rsidDel="00000000" w:rsidP="00000000" w:rsidRDefault="00000000" w:rsidRPr="00000000" w14:paraId="00000099">
            <w:pPr>
              <w:spacing w:after="0" w:lineRule="auto"/>
              <w:ind w:left="117" w:firstLine="0"/>
              <w:rPr/>
            </w:pPr>
            <w:r w:rsidDel="00000000" w:rsidR="00000000" w:rsidRPr="00000000">
              <w:rPr>
                <w:rtl w:val="0"/>
              </w:rPr>
              <w:t xml:space="preserve">14.90±1.49</w:t>
            </w:r>
          </w:p>
        </w:tc>
      </w:tr>
      <w:tr>
        <w:trPr>
          <w:trHeight w:val="405" w:hRule="atLeast"/>
        </w:trPr>
        <w:tc>
          <w:tcPr>
            <w:vMerge w:val="continue"/>
            <w:vAlign w:val="center"/>
          </w:tcPr>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Mar>
              <w:top w:w="55.0" w:type="dxa"/>
              <w:left w:w="55.0" w:type="dxa"/>
              <w:bottom w:w="55.0" w:type="dxa"/>
              <w:right w:w="55.0" w:type="dxa"/>
            </w:tcMar>
          </w:tcPr>
          <w:p w:rsidR="00000000" w:rsidDel="00000000" w:rsidP="00000000" w:rsidRDefault="00000000" w:rsidRPr="00000000" w14:paraId="0000009B">
            <w:pPr>
              <w:spacing w:after="0" w:line="240" w:lineRule="auto"/>
              <w:rPr/>
            </w:pPr>
            <w:r w:rsidDel="00000000" w:rsidR="00000000" w:rsidRPr="00000000">
              <w:rPr>
                <w:rtl w:val="0"/>
              </w:rPr>
              <w:t xml:space="preserve">Zasilanie podłączone do pinów</w:t>
            </w:r>
          </w:p>
        </w:tc>
        <w:tc>
          <w:tcPr/>
          <w:p w:rsidR="00000000" w:rsidDel="00000000" w:rsidP="00000000" w:rsidRDefault="00000000" w:rsidRPr="00000000" w14:paraId="0000009C">
            <w:pPr>
              <w:spacing w:after="0" w:lineRule="auto"/>
              <w:rPr/>
            </w:pPr>
            <w:r w:rsidDel="00000000" w:rsidR="00000000" w:rsidRPr="00000000">
              <w:rPr>
                <w:rtl w:val="0"/>
              </w:rPr>
              <w:t xml:space="preserve">2(+) i 8(-)</w:t>
            </w:r>
          </w:p>
        </w:tc>
      </w:tr>
    </w:tbl>
    <w:p w:rsidR="00000000" w:rsidDel="00000000" w:rsidP="00000000" w:rsidRDefault="00000000" w:rsidRPr="00000000" w14:paraId="0000009D">
      <w:pPr>
        <w:spacing w:after="0" w:line="360" w:lineRule="auto"/>
        <w:rPr/>
      </w:pPr>
      <w:r w:rsidDel="00000000" w:rsidR="00000000" w:rsidRPr="00000000">
        <w:rPr>
          <w:rtl w:val="0"/>
        </w:rPr>
      </w:r>
    </w:p>
    <w:p w:rsidR="00000000" w:rsidDel="00000000" w:rsidP="00000000" w:rsidRDefault="00000000" w:rsidRPr="00000000" w14:paraId="0000009E">
      <w:pPr>
        <w:spacing w:after="0" w:line="360" w:lineRule="auto"/>
        <w:rPr/>
      </w:pPr>
      <w:r w:rsidDel="00000000" w:rsidR="00000000" w:rsidRPr="00000000">
        <w:rPr>
          <w:rtl w:val="0"/>
        </w:rPr>
        <w:t xml:space="preserve">5.2 CPV</w:t>
      </w:r>
    </w:p>
    <w:p w:rsidR="00000000" w:rsidDel="00000000" w:rsidP="00000000" w:rsidRDefault="00000000" w:rsidRPr="00000000" w14:paraId="0000009F">
      <w:pPr>
        <w:spacing w:after="0" w:line="360" w:lineRule="auto"/>
        <w:rPr/>
      </w:pPr>
      <w:r w:rsidDel="00000000" w:rsidR="00000000" w:rsidRPr="00000000">
        <w:rPr>
          <w:rtl w:val="0"/>
        </w:rPr>
        <w:t xml:space="preserve">CPV - 31711100-4 Elektroniczne elementy składowe</w:t>
      </w:r>
    </w:p>
    <w:sectPr>
      <w:headerReference r:id="rId7" w:type="default"/>
      <w:headerReference r:id="rId8" w:type="first"/>
      <w:headerReference r:id="rId9" w:type="even"/>
      <w:footerReference r:id="rId10" w:type="default"/>
      <w:footerReference r:id="rId11" w:type="first"/>
      <w:footerReference r:id="rId12" w:type="even"/>
      <w:pgSz w:h="16838" w:w="11906" w:orient="portrait"/>
      <w:pgMar w:bottom="1417" w:top="1417" w:left="1417" w:right="70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4">
    <w:pPr>
      <w:pBdr>
        <w:top w:space="0" w:sz="0" w:val="nil"/>
        <w:left w:space="0" w:sz="0" w:val="nil"/>
        <w:bottom w:space="0" w:sz="0" w:val="nil"/>
        <w:right w:space="0" w:sz="0" w:val="nil"/>
        <w:between w:space="0" w:sz="0" w:val="nil"/>
      </w:pBdr>
      <w:tabs>
        <w:tab w:val="center" w:pos="4536"/>
        <w:tab w:val="right" w:pos="9072"/>
      </w:tabs>
      <w:spacing w:after="0"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5">
    <w:pPr>
      <w:pBdr>
        <w:top w:space="0" w:sz="0" w:val="nil"/>
        <w:left w:space="0" w:sz="0" w:val="nil"/>
        <w:bottom w:space="0" w:sz="0" w:val="nil"/>
        <w:right w:space="0" w:sz="0" w:val="nil"/>
        <w:between w:space="0" w:sz="0" w:val="nil"/>
      </w:pBdr>
      <w:tabs>
        <w:tab w:val="center" w:pos="4536"/>
        <w:tab w:val="right" w:pos="9072"/>
      </w:tabs>
      <w:spacing w:after="0" w:line="240" w:lineRule="auto"/>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6">
    <w:pPr>
      <w:pBdr>
        <w:top w:space="0" w:sz="0" w:val="nil"/>
        <w:left w:space="0" w:sz="0" w:val="nil"/>
        <w:bottom w:space="0" w:sz="0" w:val="nil"/>
        <w:right w:space="0" w:sz="0" w:val="nil"/>
        <w:between w:space="0" w:sz="0" w:val="nil"/>
      </w:pBdr>
      <w:tabs>
        <w:tab w:val="center" w:pos="4536"/>
        <w:tab w:val="right" w:pos="9072"/>
      </w:tabs>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0">
    <w:pPr>
      <w:pBdr>
        <w:top w:space="0" w:sz="0" w:val="nil"/>
        <w:left w:space="0" w:sz="0" w:val="nil"/>
        <w:bottom w:space="0" w:sz="0" w:val="nil"/>
        <w:right w:space="0" w:sz="0" w:val="nil"/>
        <w:between w:space="0" w:sz="0" w:val="nil"/>
      </w:pBdr>
      <w:tabs>
        <w:tab w:val="center" w:pos="4536"/>
        <w:tab w:val="right" w:pos="9072"/>
      </w:tabs>
      <w:spacing w:after="0" w:line="240" w:lineRule="auto"/>
      <w:jc w:val="right"/>
      <w:rPr>
        <w:color w:val="000000"/>
        <w:sz w:val="20"/>
        <w:szCs w:val="20"/>
      </w:rPr>
    </w:pPr>
    <w:r w:rsidDel="00000000" w:rsidR="00000000" w:rsidRPr="00000000">
      <w:rPr>
        <w:sz w:val="20"/>
        <w:szCs w:val="20"/>
      </w:rPr>
      <w:drawing>
        <wp:inline distB="114300" distT="114300" distL="114300" distR="114300">
          <wp:extent cx="6211260" cy="495300"/>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211260" cy="495300"/>
                  </a:xfrm>
                  <a:prstGeom prst="rect"/>
                  <a:ln/>
                </pic:spPr>
              </pic:pic>
            </a:graphicData>
          </a:graphic>
        </wp:inline>
      </w:drawing>
    </w:r>
    <w:r w:rsidDel="00000000" w:rsidR="00000000" w:rsidRPr="00000000">
      <w:rPr>
        <w:color w:val="000000"/>
        <w:sz w:val="20"/>
        <w:szCs w:val="20"/>
        <w:rtl w:val="0"/>
      </w:rPr>
      <w:t xml:space="preserve">Strona </w:t>
    </w:r>
    <w:r w:rsidDel="00000000" w:rsidR="00000000" w:rsidRPr="00000000">
      <w:rPr>
        <w:b w:val="1"/>
        <w:color w:val="000000"/>
        <w:sz w:val="20"/>
        <w:szCs w:val="20"/>
      </w:rPr>
      <w:fldChar w:fldCharType="begin"/>
      <w:instrText xml:space="preserve">PAGE</w:instrText>
      <w:fldChar w:fldCharType="separate"/>
      <w:fldChar w:fldCharType="end"/>
    </w:r>
    <w:r w:rsidDel="00000000" w:rsidR="00000000" w:rsidRPr="00000000">
      <w:rPr>
        <w:color w:val="000000"/>
        <w:sz w:val="20"/>
        <w:szCs w:val="20"/>
        <w:rtl w:val="0"/>
      </w:rPr>
      <w:t xml:space="preserve"> z </w:t>
    </w:r>
    <w:r w:rsidDel="00000000" w:rsidR="00000000" w:rsidRPr="00000000">
      <w:rPr>
        <w:b w:val="1"/>
        <w:color w:val="000000"/>
        <w:sz w:val="20"/>
        <w:szCs w:val="20"/>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A1">
    <w:pPr>
      <w:pBdr>
        <w:top w:space="0" w:sz="0" w:val="nil"/>
        <w:left w:space="0" w:sz="0" w:val="nil"/>
        <w:bottom w:space="0" w:sz="0" w:val="nil"/>
        <w:right w:space="0" w:sz="0" w:val="nil"/>
        <w:between w:space="0" w:sz="0" w:val="nil"/>
      </w:pBdr>
      <w:tabs>
        <w:tab w:val="center" w:pos="4536"/>
        <w:tab w:val="right" w:pos="9072"/>
      </w:tabs>
      <w:spacing w:after="0" w:line="240" w:lineRule="auto"/>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2">
    <w:pPr>
      <w:pBdr>
        <w:top w:space="0" w:sz="0" w:val="nil"/>
        <w:left w:space="0" w:sz="0" w:val="nil"/>
        <w:bottom w:space="0" w:sz="0" w:val="nil"/>
        <w:right w:space="0" w:sz="0" w:val="nil"/>
        <w:between w:space="0" w:sz="0" w:val="nil"/>
      </w:pBdr>
      <w:tabs>
        <w:tab w:val="center" w:pos="4536"/>
        <w:tab w:val="right" w:pos="9072"/>
      </w:tabs>
      <w:spacing w:after="0" w:line="240" w:lineRule="auto"/>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3">
    <w:pPr>
      <w:pBdr>
        <w:top w:space="0" w:sz="0" w:val="nil"/>
        <w:left w:space="0" w:sz="0" w:val="nil"/>
        <w:bottom w:space="0" w:sz="0" w:val="nil"/>
        <w:right w:space="0" w:sz="0" w:val="nil"/>
        <w:between w:space="0" w:sz="0" w:val="nil"/>
      </w:pBdr>
      <w:tabs>
        <w:tab w:val="center" w:pos="4536"/>
        <w:tab w:val="right" w:pos="9072"/>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rFonts w:ascii="Calibri" w:cs="Calibri" w:eastAsia="Calibri" w:hAnsi="Calibri"/>
        <w:sz w:val="22"/>
        <w:szCs w:val="22"/>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l-PL"/>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ny" w:default="1">
    <w:name w:val="Normal"/>
    <w:qFormat w:val="1"/>
  </w:style>
  <w:style w:type="paragraph" w:styleId="Nagwek1">
    <w:name w:val="heading 1"/>
    <w:basedOn w:val="Normalny"/>
    <w:next w:val="Normalny"/>
    <w:uiPriority w:val="9"/>
    <w:qFormat w:val="1"/>
    <w:pPr>
      <w:keepNext w:val="1"/>
      <w:keepLines w:val="1"/>
      <w:spacing w:after="120" w:before="480"/>
      <w:outlineLvl w:val="0"/>
    </w:pPr>
    <w:rPr>
      <w:b w:val="1"/>
      <w:sz w:val="48"/>
      <w:szCs w:val="48"/>
    </w:rPr>
  </w:style>
  <w:style w:type="paragraph" w:styleId="Nagwek2">
    <w:name w:val="heading 2"/>
    <w:basedOn w:val="Normalny"/>
    <w:next w:val="Normalny"/>
    <w:uiPriority w:val="9"/>
    <w:semiHidden w:val="1"/>
    <w:unhideWhenUsed w:val="1"/>
    <w:qFormat w:val="1"/>
    <w:pPr>
      <w:keepNext w:val="1"/>
      <w:keepLines w:val="1"/>
      <w:spacing w:after="80" w:before="360"/>
      <w:outlineLvl w:val="1"/>
    </w:pPr>
    <w:rPr>
      <w:b w:val="1"/>
      <w:sz w:val="36"/>
      <w:szCs w:val="36"/>
    </w:rPr>
  </w:style>
  <w:style w:type="paragraph" w:styleId="Nagwek3">
    <w:name w:val="heading 3"/>
    <w:basedOn w:val="Normalny"/>
    <w:next w:val="Normalny"/>
    <w:uiPriority w:val="9"/>
    <w:semiHidden w:val="1"/>
    <w:unhideWhenUsed w:val="1"/>
    <w:qFormat w:val="1"/>
    <w:pPr>
      <w:keepNext w:val="1"/>
      <w:keepLines w:val="1"/>
      <w:spacing w:after="80" w:before="280"/>
      <w:outlineLvl w:val="2"/>
    </w:pPr>
    <w:rPr>
      <w:b w:val="1"/>
      <w:sz w:val="28"/>
      <w:szCs w:val="28"/>
    </w:rPr>
  </w:style>
  <w:style w:type="paragraph" w:styleId="Nagwek4">
    <w:name w:val="heading 4"/>
    <w:basedOn w:val="Normalny"/>
    <w:next w:val="Normalny"/>
    <w:uiPriority w:val="9"/>
    <w:semiHidden w:val="1"/>
    <w:unhideWhenUsed w:val="1"/>
    <w:qFormat w:val="1"/>
    <w:pPr>
      <w:keepNext w:val="1"/>
      <w:keepLines w:val="1"/>
      <w:spacing w:after="40" w:before="240"/>
      <w:outlineLvl w:val="3"/>
    </w:pPr>
    <w:rPr>
      <w:b w:val="1"/>
      <w:sz w:val="24"/>
      <w:szCs w:val="24"/>
    </w:rPr>
  </w:style>
  <w:style w:type="paragraph" w:styleId="Nagwek5">
    <w:name w:val="heading 5"/>
    <w:basedOn w:val="Normalny"/>
    <w:next w:val="Normalny"/>
    <w:uiPriority w:val="9"/>
    <w:semiHidden w:val="1"/>
    <w:unhideWhenUsed w:val="1"/>
    <w:qFormat w:val="1"/>
    <w:pPr>
      <w:keepNext w:val="1"/>
      <w:keepLines w:val="1"/>
      <w:spacing w:after="40" w:before="220"/>
      <w:outlineLvl w:val="4"/>
    </w:pPr>
    <w:rPr>
      <w:b w:val="1"/>
    </w:rPr>
  </w:style>
  <w:style w:type="paragraph" w:styleId="Nagwek6">
    <w:name w:val="heading 6"/>
    <w:basedOn w:val="Normalny"/>
    <w:next w:val="Normalny"/>
    <w:uiPriority w:val="9"/>
    <w:semiHidden w:val="1"/>
    <w:unhideWhenUsed w:val="1"/>
    <w:qFormat w:val="1"/>
    <w:pPr>
      <w:keepNext w:val="1"/>
      <w:keepLines w:val="1"/>
      <w:spacing w:after="40" w:before="200"/>
      <w:outlineLvl w:val="5"/>
    </w:pPr>
    <w:rPr>
      <w:b w:val="1"/>
      <w:sz w:val="20"/>
      <w:szCs w:val="20"/>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ytu">
    <w:name w:val="Title"/>
    <w:basedOn w:val="Normalny"/>
    <w:next w:val="Normalny"/>
    <w:uiPriority w:val="10"/>
    <w:qFormat w:val="1"/>
    <w:pPr>
      <w:keepNext w:val="1"/>
      <w:keepLines w:val="1"/>
      <w:spacing w:after="120" w:before="480"/>
    </w:pPr>
    <w:rPr>
      <w:b w:val="1"/>
      <w:sz w:val="72"/>
      <w:szCs w:val="72"/>
    </w:rPr>
  </w:style>
  <w:style w:type="paragraph" w:styleId="Podtytu">
    <w:name w:val="Subtitle"/>
    <w:basedOn w:val="Normalny"/>
    <w:next w:val="Normalny"/>
    <w:uiPriority w:val="11"/>
    <w:qFormat w:val="1"/>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28.0" w:type="dxa"/>
        <w:left w:w="70.0" w:type="dxa"/>
        <w:bottom w:w="28.0" w:type="dxa"/>
        <w:right w:w="70.0" w:type="dxa"/>
      </w:tblCellMar>
    </w:tblPr>
  </w:style>
  <w:style w:type="table" w:styleId="a0" w:customStyle="1">
    <w:basedOn w:val="TableNormal"/>
    <w:tblPr>
      <w:tblStyleRowBandSize w:val="1"/>
      <w:tblStyleColBandSize w:val="1"/>
      <w:tblCellMar>
        <w:top w:w="28.0" w:type="dxa"/>
        <w:left w:w="70.0" w:type="dxa"/>
        <w:bottom w:w="28.0" w:type="dxa"/>
        <w:right w:w="70.0" w:type="dxa"/>
      </w:tblCellMar>
    </w:tblPr>
  </w:style>
  <w:style w:type="table" w:styleId="a1" w:customStyle="1">
    <w:basedOn w:val="TableNormal"/>
    <w:tblPr>
      <w:tblStyleRowBandSize w:val="1"/>
      <w:tblStyleColBandSize w:val="1"/>
      <w:tblCellMar>
        <w:top w:w="28.0" w:type="dxa"/>
        <w:left w:w="70.0" w:type="dxa"/>
        <w:bottom w:w="28.0" w:type="dxa"/>
        <w:right w:w="70.0" w:type="dxa"/>
      </w:tblCellMar>
    </w:tbl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28.0" w:type="dxa"/>
        <w:left w:w="70.0" w:type="dxa"/>
        <w:bottom w:w="28.0" w:type="dxa"/>
        <w:right w:w="70.0" w:type="dxa"/>
      </w:tblCellMar>
    </w:tblPr>
  </w:style>
  <w:style w:type="table" w:styleId="Table2">
    <w:basedOn w:val="TableNormal"/>
    <w:tblPr>
      <w:tblStyleRowBandSize w:val="1"/>
      <w:tblStyleColBandSize w:val="1"/>
      <w:tblCellMar>
        <w:top w:w="28.0" w:type="dxa"/>
        <w:left w:w="70.0" w:type="dxa"/>
        <w:bottom w:w="28.0" w:type="dxa"/>
        <w:right w:w="70.0" w:type="dxa"/>
      </w:tblCellMar>
    </w:tblPr>
  </w:style>
  <w:style w:type="table" w:styleId="Table3">
    <w:basedOn w:val="TableNormal"/>
    <w:tblPr>
      <w:tblStyleRowBandSize w:val="1"/>
      <w:tblStyleColBandSize w:val="1"/>
      <w:tblCellMar>
        <w:top w:w="28.0" w:type="dxa"/>
        <w:left w:w="70.0" w:type="dxa"/>
        <w:bottom w:w="28.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9h0JCj9vXjH4k0em2M6BLrVHyg==">AMUW2mX0XGwqxE59AKlU637qisn0z36JnpWXmIJtWdNs5rIFHY27dbrV9EJ2XmMqd/IWfbmW1nyDeKIqxTyadfg1GauLd9a9MsGwnW42EejfvlJiexAYSxM9CCDU54IOeFqi7A87z5x0cOEyPzErY6U3gINUQLU5uq/I6K3Fz3VjZo38P8uo3M4=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2021-01-20T14:40:00Z</dcterms:created>
  <dc:creator>Dominik Nowak</dc:creator>
</cp:coreProperties>
</file>