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0" w:line="240" w:lineRule="auto"/>
        <w:ind w:left="567" w:firstLine="0"/>
        <w:jc w:val="both"/>
        <w:rPr/>
      </w:pPr>
      <w:r w:rsidDel="00000000" w:rsidR="00000000" w:rsidRPr="00000000">
        <w:rPr>
          <w:rtl w:val="0"/>
        </w:rPr>
        <w:t xml:space="preserve">Przedmiotem zamówienia jest dostawa związków metaloorganicznych w specjalistycznych pojemnikach (bubbler), wymienionych poniżej wg nazwy i potrzebnej ilości: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7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Trimethylgallium (TMGa OEG) </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1000g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połączenie bubblerów </w:t>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sztuki</w:t>
      </w: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Parametry </w:t>
      </w:r>
    </w:p>
    <w:tbl>
      <w:tblPr>
        <w:tblStyle w:val="Table1"/>
        <w:tblW w:w="10616.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3118"/>
        <w:gridCol w:w="5512"/>
        <w:tblGridChange w:id="0">
          <w:tblGrid>
            <w:gridCol w:w="1986"/>
            <w:gridCol w:w="3118"/>
            <w:gridCol w:w="5512"/>
          </w:tblGrid>
        </w:tblGridChange>
      </w:tblGrid>
      <w:tr>
        <w:trPr>
          <w:trHeight w:val="240" w:hRule="atLeast"/>
        </w:trPr>
        <w:tc>
          <w:tcPr>
            <w:shd w:fill="dddddd" w:val="clear"/>
            <w:tcMar>
              <w:top w:w="55.0" w:type="dxa"/>
              <w:left w:w="55.0" w:type="dxa"/>
              <w:bottom w:w="55.0" w:type="dxa"/>
              <w:right w:w="55.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color w:val="000000"/>
                <w:sz w:val="16"/>
                <w:szCs w:val="16"/>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color w:val="000000"/>
                <w:sz w:val="16"/>
                <w:szCs w:val="16"/>
                <w:rtl w:val="0"/>
              </w:rPr>
              <w:t xml:space="preserve">Parametr </w:t>
            </w:r>
          </w:p>
        </w:tc>
        <w:tc>
          <w:tcPr>
            <w:shd w:fill="dddddd" w:val="cle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color w:val="000000"/>
                <w:sz w:val="16"/>
                <w:szCs w:val="16"/>
                <w:rtl w:val="0"/>
              </w:rPr>
              <w:t xml:space="preserve">Specyfikacja</w:t>
            </w:r>
          </w:p>
        </w:tc>
      </w:tr>
      <w:tr>
        <w:trPr>
          <w:trHeight w:val="240" w:hRule="atLeast"/>
        </w:trPr>
        <w:tc>
          <w:tcPr>
            <w:vMerge w:val="restart"/>
            <w:tcMar>
              <w:top w:w="55.0" w:type="dxa"/>
              <w:left w:w="55.0" w:type="dxa"/>
              <w:bottom w:w="55.0" w:type="dxa"/>
              <w:right w:w="55.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Rule="auto"/>
              <w:ind w:left="720" w:hanging="720"/>
              <w:rPr>
                <w:rFonts w:ascii="Calibri" w:cs="Calibri" w:eastAsia="Calibri" w:hAnsi="Calibri"/>
                <w:color w:val="000000"/>
              </w:rPr>
            </w:pPr>
            <w:r w:rsidDel="00000000" w:rsidR="00000000" w:rsidRPr="00000000">
              <w:rPr>
                <w:rFonts w:ascii="Calibri" w:cs="Calibri" w:eastAsia="Calibri" w:hAnsi="Calibri"/>
                <w:rtl w:val="0"/>
              </w:rPr>
              <w:t xml:space="preserve">Trimethylgallium TMGa</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rtl w:val="0"/>
              </w:rPr>
              <w:t xml:space="preserve">Czystość optoelektroniczna</w:t>
            </w:r>
            <w:r w:rsidDel="00000000" w:rsidR="00000000" w:rsidRPr="00000000">
              <w:rPr>
                <w:rtl w:val="0"/>
              </w:rPr>
            </w:r>
          </w:p>
        </w:tc>
        <w:tc>
          <w:tcPr/>
          <w:p w:rsidR="00000000" w:rsidDel="00000000" w:rsidP="00000000" w:rsidRDefault="00000000" w:rsidRPr="00000000" w14:paraId="0000000D">
            <w:pPr>
              <w:spacing w:after="0" w:line="240" w:lineRule="auto"/>
              <w:ind w:left="720" w:firstLine="0"/>
              <w:rPr>
                <w:rFonts w:ascii="Calibri" w:cs="Calibri" w:eastAsia="Calibri" w:hAnsi="Calibri"/>
                <w:color w:val="000000"/>
              </w:rPr>
            </w:pPr>
            <w:r w:rsidDel="00000000" w:rsidR="00000000" w:rsidRPr="00000000">
              <w:rPr>
                <w:rtl w:val="0"/>
              </w:rPr>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Czystość metalu: </w:t>
            </w:r>
          </w:p>
        </w:tc>
        <w:tc>
          <w:tcPr/>
          <w:p w:rsidR="00000000" w:rsidDel="00000000" w:rsidP="00000000" w:rsidRDefault="00000000" w:rsidRPr="00000000" w14:paraId="0000001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Gallium (jednostka: %): </w:t>
            </w:r>
          </w:p>
          <w:p w:rsidR="00000000" w:rsidDel="00000000" w:rsidP="00000000" w:rsidRDefault="00000000" w:rsidRPr="00000000" w14:paraId="00000011">
            <w:pPr>
              <w:numPr>
                <w:ilvl w:val="1"/>
                <w:numId w:val="1"/>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Specyfikacja &gt; 99,9999 </w:t>
            </w:r>
          </w:p>
          <w:p w:rsidR="00000000" w:rsidDel="00000000" w:rsidP="00000000" w:rsidRDefault="00000000" w:rsidRPr="00000000" w14:paraId="00000012">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Oxygen (</w:t>
            </w:r>
            <w:r w:rsidDel="00000000" w:rsidR="00000000" w:rsidRPr="00000000">
              <w:rPr>
                <w:rFonts w:ascii="Calibri" w:cs="Calibri" w:eastAsia="Calibri" w:hAnsi="Calibri"/>
                <w:rtl w:val="0"/>
              </w:rPr>
              <w:t xml:space="preserve">jednostka</w:t>
            </w:r>
            <w:r w:rsidDel="00000000" w:rsidR="00000000" w:rsidRPr="00000000">
              <w:rPr>
                <w:rFonts w:ascii="Calibri" w:cs="Calibri" w:eastAsia="Calibri" w:hAnsi="Calibri"/>
                <w:color w:val="000000"/>
                <w:rtl w:val="0"/>
              </w:rPr>
              <w:t xml:space="preserve">:PPM, NMR)</w:t>
            </w:r>
            <w:r w:rsidDel="00000000" w:rsidR="00000000" w:rsidRPr="00000000">
              <w:rPr>
                <w:rtl w:val="0"/>
              </w:rPr>
            </w:r>
          </w:p>
          <w:p w:rsidR="00000000" w:rsidDel="00000000" w:rsidP="00000000" w:rsidRDefault="00000000" w:rsidRPr="00000000" w14:paraId="00000013">
            <w:pPr>
              <w:numPr>
                <w:ilvl w:val="1"/>
                <w:numId w:val="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LOD (limit detekcji) &lt;0,5 </w:t>
            </w:r>
            <w:r w:rsidDel="00000000" w:rsidR="00000000" w:rsidRPr="00000000">
              <w:rPr>
                <w:rtl w:val="0"/>
              </w:rPr>
            </w:r>
          </w:p>
          <w:p w:rsidR="00000000" w:rsidDel="00000000" w:rsidP="00000000" w:rsidRDefault="00000000" w:rsidRPr="00000000" w14:paraId="00000014">
            <w:pPr>
              <w:numPr>
                <w:ilvl w:val="1"/>
                <w:numId w:val="1"/>
              </w:numPr>
              <w:spacing w:after="0" w:line="240" w:lineRule="auto"/>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Specyfikacja &lt; 1</w:t>
            </w:r>
            <w:r w:rsidDel="00000000" w:rsidR="00000000" w:rsidRPr="00000000">
              <w:rPr>
                <w:rtl w:val="0"/>
              </w:rPr>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Zanieczyszczenia metalu (wskazania na podstawie: Spektrometrii mas sprzężonej z plazmą wzbudzaną indukcyjnie) (jednostka: PPM): </w:t>
            </w:r>
            <w:r w:rsidDel="00000000" w:rsidR="00000000" w:rsidRPr="00000000">
              <w:rPr>
                <w:rFonts w:ascii="Calibri" w:cs="Calibri" w:eastAsia="Calibri" w:hAnsi="Calibri"/>
                <w:rtl w:val="0"/>
              </w:rPr>
              <w:t xml:space="preserve">Aluminium (Al), Antimony (Sb), Arsenic (As), Bismuth (Bi), Chromium (Cr), Copper (Cu), Germanium (Ge), Indium (In), Iron (Fe), Lead (Pb), Magnesium (Mg), Manganese (Mn), Selenium (Se), Phosphorous (P), Silicon (Si), Sulfur (S), Tellurium (Te), Tin (Sn), Zinc (Zn)</w:t>
            </w:r>
            <w:r w:rsidDel="00000000" w:rsidR="00000000" w:rsidRPr="00000000">
              <w:rPr>
                <w:rtl w:val="0"/>
              </w:rPr>
            </w:r>
          </w:p>
        </w:tc>
        <w:tc>
          <w:tcPr/>
          <w:p w:rsidR="00000000" w:rsidDel="00000000" w:rsidP="00000000" w:rsidRDefault="00000000" w:rsidRPr="00000000" w14:paraId="00000017">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Specyfikacja &lt; 0,1</w:t>
            </w:r>
          </w:p>
          <w:p w:rsidR="00000000" w:rsidDel="00000000" w:rsidP="00000000" w:rsidRDefault="00000000" w:rsidRPr="00000000" w14:paraId="00000018">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LOD (limit detekcji) 0,01</w:t>
            </w:r>
            <w:r w:rsidDel="00000000" w:rsidR="00000000" w:rsidRPr="00000000">
              <w:rPr>
                <w:rtl w:val="0"/>
              </w:rPr>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Zanieczyszczenia metalu (wskazania na podstawie: Spektrometrii mas sprzężonej z plazmą wzbudzaną indukcyjnie) (jednostka: PPM): </w:t>
            </w:r>
            <w:r w:rsidDel="00000000" w:rsidR="00000000" w:rsidRPr="00000000">
              <w:rPr>
                <w:rFonts w:ascii="Calibri" w:cs="Calibri" w:eastAsia="Calibri" w:hAnsi="Calibri"/>
                <w:rtl w:val="0"/>
              </w:rPr>
              <w:t xml:space="preserve">Cadmium (Cd), Mercury (Hg)</w:t>
            </w:r>
          </w:p>
        </w:tc>
        <w:tc>
          <w:tcPr/>
          <w:p w:rsidR="00000000" w:rsidDel="00000000" w:rsidP="00000000" w:rsidRDefault="00000000" w:rsidRPr="00000000" w14:paraId="0000001B">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Specyfikacja &lt; 0,01</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LOD (limit detekcji) 0,001</w:t>
            </w:r>
          </w:p>
        </w:tc>
      </w:tr>
      <w:tr>
        <w:trPr>
          <w:trHeight w:val="240" w:hRule="atLeast"/>
        </w:trPr>
        <w:tc>
          <w:tcPr>
            <w:vMerge w:val="continue"/>
            <w:tcMar>
              <w:top w:w="55.0" w:type="dxa"/>
              <w:left w:w="55.0" w:type="dxa"/>
              <w:bottom w:w="55.0" w:type="dxa"/>
              <w:right w:w="55.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Bubbler</w:t>
            </w:r>
          </w:p>
        </w:tc>
        <w:tc>
          <w:tcPr/>
          <w:p w:rsidR="00000000" w:rsidDel="00000000" w:rsidP="00000000" w:rsidRDefault="00000000" w:rsidRPr="00000000" w14:paraId="0000001F">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Z zaworem płuczącym  </w:t>
            </w:r>
            <w:r w:rsidDel="00000000" w:rsidR="00000000" w:rsidRPr="00000000">
              <w:rPr>
                <w:rtl w:val="0"/>
              </w:rPr>
            </w:r>
          </w:p>
        </w:tc>
      </w:tr>
    </w:tb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
        <w:tblW w:w="10616.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3118"/>
        <w:gridCol w:w="5512"/>
        <w:tblGridChange w:id="0">
          <w:tblGrid>
            <w:gridCol w:w="1986"/>
            <w:gridCol w:w="3118"/>
            <w:gridCol w:w="5512"/>
          </w:tblGrid>
        </w:tblGridChange>
      </w:tblGrid>
      <w:tr>
        <w:trPr>
          <w:trHeight w:val="240" w:hRule="atLeast"/>
        </w:trPr>
        <w:tc>
          <w:tcPr>
            <w:tcMar>
              <w:top w:w="55.0" w:type="dxa"/>
              <w:left w:w="55.0" w:type="dxa"/>
              <w:bottom w:w="55.0" w:type="dxa"/>
              <w:right w:w="55.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Połączenie bubblerów</w:t>
            </w:r>
          </w:p>
        </w:tc>
        <w:tc>
          <w:tcPr>
            <w:tcMar>
              <w:top w:w="55.0" w:type="dxa"/>
              <w:left w:w="55.0" w:type="dxa"/>
              <w:bottom w:w="55.0" w:type="dxa"/>
              <w:right w:w="55.0" w:type="dxa"/>
            </w:tcMar>
            <w:vAlign w:val="center"/>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Fonts w:ascii="Calibri" w:cs="Calibri" w:eastAsia="Calibri" w:hAnsi="Calibri"/>
                <w:color w:val="222222"/>
                <w:highlight w:val="white"/>
                <w:rtl w:val="0"/>
              </w:rPr>
              <w:t xml:space="preserve">1/8“ wężyk</w:t>
            </w:r>
            <w:r w:rsidDel="00000000" w:rsidR="00000000" w:rsidRPr="00000000">
              <w:rPr>
                <w:rtl w:val="0"/>
              </w:rPr>
            </w:r>
          </w:p>
        </w:tc>
        <w:tc>
          <w:tcPr>
            <w:vAlign w:val="bottom"/>
          </w:tcPr>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1/8“ wężyk z 2 żeńskimi końcówkami 1“ VCR</w:t>
            </w:r>
            <w:r w:rsidDel="00000000" w:rsidR="00000000" w:rsidRPr="00000000">
              <w:rPr>
                <w:rtl w:val="0"/>
              </w:rPr>
            </w:r>
          </w:p>
        </w:tc>
      </w:tr>
    </w:tbl>
    <w:p w:rsidR="00000000" w:rsidDel="00000000" w:rsidP="00000000" w:rsidRDefault="00000000" w:rsidRPr="00000000" w14:paraId="00000024">
      <w:pPr>
        <w:spacing w:after="0" w:line="360" w:lineRule="auto"/>
        <w:ind w:left="0" w:firstLine="0"/>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sz w:val="20"/>
        <w:szCs w:val="20"/>
      </w:rPr>
      <w:drawing>
        <wp:inline distB="0" distT="0" distL="0" distR="0">
          <wp:extent cx="6210300" cy="1219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10300" cy="1219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2" w:customStyle="1">
    <w:name w:val="2"/>
    <w:basedOn w:val="TableNormal"/>
    <w:tblPr>
      <w:tblStyleRowBandSize w:val="1"/>
      <w:tblStyleColBandSize w:val="1"/>
      <w:tblCellMar>
        <w:top w:w="28.0" w:type="dxa"/>
        <w:left w:w="28.0" w:type="dxa"/>
        <w:bottom w:w="28.0" w:type="dxa"/>
        <w:right w:w="28.0" w:type="dxa"/>
      </w:tblCellMar>
    </w:tblPr>
  </w:style>
  <w:style w:type="table" w:styleId="1" w:customStyle="1">
    <w:name w:val="1"/>
    <w:basedOn w:val="TableNormal"/>
    <w:tblPr>
      <w:tblStyleRowBandSize w:val="1"/>
      <w:tblStyleColBandSize w:val="1"/>
      <w:tblCellMar>
        <w:left w:w="70.0" w:type="dxa"/>
        <w:right w:w="70.0" w:type="dxa"/>
      </w:tblCellMar>
    </w:tblPr>
  </w:style>
  <w:style w:type="paragraph" w:styleId="Akapitzlist">
    <w:name w:val="List Paragraph"/>
    <w:basedOn w:val="Normalny"/>
    <w:uiPriority w:val="34"/>
    <w:qFormat w:val="1"/>
    <w:rsid w:val="00840A56"/>
    <w:pPr>
      <w:ind w:left="720"/>
      <w:contextualSpacing w:val="1"/>
    </w:pPr>
  </w:style>
  <w:style w:type="paragraph" w:styleId="Tekstprzypisukocowego">
    <w:name w:val="endnote text"/>
    <w:basedOn w:val="Normalny"/>
    <w:link w:val="TekstprzypisukocowegoZnak"/>
    <w:uiPriority w:val="99"/>
    <w:semiHidden w:val="1"/>
    <w:unhideWhenUsed w:val="1"/>
    <w:rsid w:val="00585F57"/>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585F57"/>
    <w:rPr>
      <w:sz w:val="20"/>
      <w:szCs w:val="20"/>
    </w:rPr>
  </w:style>
  <w:style w:type="character" w:styleId="Odwoanieprzypisukocowego">
    <w:name w:val="endnote reference"/>
    <w:basedOn w:val="Domylnaczcionkaakapitu"/>
    <w:uiPriority w:val="99"/>
    <w:semiHidden w:val="1"/>
    <w:unhideWhenUsed w:val="1"/>
    <w:rsid w:val="00585F57"/>
    <w:rPr>
      <w:vertAlign w:val="superscript"/>
    </w:rPr>
  </w:style>
  <w:style w:type="paragraph" w:styleId="Tekstdymka">
    <w:name w:val="Balloon Text"/>
    <w:basedOn w:val="Normalny"/>
    <w:link w:val="TekstdymkaZnak"/>
    <w:uiPriority w:val="99"/>
    <w:semiHidden w:val="1"/>
    <w:unhideWhenUsed w:val="1"/>
    <w:rsid w:val="00C64F42"/>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C64F42"/>
    <w:rPr>
      <w:rFonts w:ascii="Segoe UI" w:cs="Segoe UI" w:hAnsi="Segoe UI"/>
      <w:sz w:val="18"/>
      <w:szCs w:val="18"/>
    </w:rPr>
  </w:style>
  <w:style w:type="character" w:styleId="Odwoaniedokomentarza">
    <w:name w:val="annotation reference"/>
    <w:basedOn w:val="Domylnaczcionkaakapitu"/>
    <w:uiPriority w:val="99"/>
    <w:semiHidden w:val="1"/>
    <w:unhideWhenUsed w:val="1"/>
    <w:rsid w:val="00C6401E"/>
    <w:rPr>
      <w:sz w:val="16"/>
      <w:szCs w:val="16"/>
    </w:rPr>
  </w:style>
  <w:style w:type="paragraph" w:styleId="Tekstkomentarza">
    <w:name w:val="annotation text"/>
    <w:basedOn w:val="Normalny"/>
    <w:link w:val="TekstkomentarzaZnak"/>
    <w:uiPriority w:val="99"/>
    <w:semiHidden w:val="1"/>
    <w:unhideWhenUsed w:val="1"/>
    <w:rsid w:val="00C6401E"/>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C6401E"/>
    <w:rPr>
      <w:sz w:val="20"/>
      <w:szCs w:val="20"/>
    </w:rPr>
  </w:style>
  <w:style w:type="paragraph" w:styleId="Tematkomentarza">
    <w:name w:val="annotation subject"/>
    <w:basedOn w:val="Tekstkomentarza"/>
    <w:next w:val="Tekstkomentarza"/>
    <w:link w:val="TematkomentarzaZnak"/>
    <w:uiPriority w:val="99"/>
    <w:semiHidden w:val="1"/>
    <w:unhideWhenUsed w:val="1"/>
    <w:rsid w:val="00C6401E"/>
    <w:rPr>
      <w:b w:val="1"/>
      <w:bCs w:val="1"/>
    </w:rPr>
  </w:style>
  <w:style w:type="character" w:styleId="TematkomentarzaZnak" w:customStyle="1">
    <w:name w:val="Temat komentarza Znak"/>
    <w:basedOn w:val="TekstkomentarzaZnak"/>
    <w:link w:val="Tematkomentarza"/>
    <w:uiPriority w:val="99"/>
    <w:semiHidden w:val="1"/>
    <w:rsid w:val="00C6401E"/>
    <w:rPr>
      <w:b w:val="1"/>
      <w:bCs w:val="1"/>
      <w:sz w:val="20"/>
      <w:szCs w:val="20"/>
    </w:rPr>
  </w:style>
  <w:style w:type="character" w:styleId="Hipercze">
    <w:name w:val="Hyperlink"/>
    <w:basedOn w:val="Domylnaczcionkaakapitu"/>
    <w:uiPriority w:val="99"/>
    <w:semiHidden w:val="1"/>
    <w:unhideWhenUsed w:val="1"/>
    <w:rsid w:val="004C6FE4"/>
    <w:rPr>
      <w:color w:val="0000ff"/>
      <w:u w:val="single"/>
    </w:rPr>
  </w:style>
  <w:style w:type="paragraph" w:styleId="Nagwek">
    <w:name w:val="header"/>
    <w:basedOn w:val="Normalny"/>
    <w:link w:val="NagwekZnak"/>
    <w:uiPriority w:val="99"/>
    <w:unhideWhenUsed w:val="1"/>
    <w:rsid w:val="006351C1"/>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351C1"/>
  </w:style>
  <w:style w:type="paragraph" w:styleId="Stopka">
    <w:name w:val="footer"/>
    <w:basedOn w:val="Normalny"/>
    <w:link w:val="StopkaZnak"/>
    <w:uiPriority w:val="99"/>
    <w:unhideWhenUsed w:val="1"/>
    <w:rsid w:val="006351C1"/>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351C1"/>
  </w:style>
  <w:style w:type="table" w:styleId="21" w:customStyle="1">
    <w:name w:val="21"/>
    <w:basedOn w:val="TableNormal"/>
    <w:rsid w:val="007A00D8"/>
    <w:tblPr>
      <w:tblStyleRowBandSize w:val="1"/>
      <w:tblStyleColBandSize w:val="1"/>
      <w:tblCellMar>
        <w:top w:w="28.0" w:type="dxa"/>
        <w:left w:w="28.0" w:type="dxa"/>
        <w:bottom w:w="28.0" w:type="dxa"/>
        <w:right w:w="2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28.0" w:type="dxa"/>
        <w:right w:w="28.0" w:type="dxa"/>
      </w:tblCellMar>
    </w:tblPr>
  </w:style>
  <w:style w:type="table" w:styleId="Table2">
    <w:basedOn w:val="TableNormal"/>
    <w:tblPr>
      <w:tblStyleRowBandSize w:val="1"/>
      <w:tblStyleColBandSize w:val="1"/>
      <w:tblCellMar>
        <w:top w:w="28.0" w:type="dxa"/>
        <w:left w:w="28.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mF1OqvvVY6tLjr8xWx754hY2g==">AMUW2mX07GYaF0AJKEC/7TXHbUxCCi9Ut3p2xahJt5BSACTeChM8DMSYbwUmy4Mf1k3LeHNMSSQr6WWKUjwz0flcDUYgg3jPvs6/3tsZUfbmFkiKuzQ/W87he0wKK1tqEOjZShHW6JEk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2021-01-18T12:25:00Z</dcterms:created>
  <dc:creator>Przemysław Ropelewski</dc:creator>
</cp:coreProperties>
</file>