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0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OPIS PRZEDMIOTU ZAMÓWIENIA 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Przedmiot zamówienia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Przedmiotem zamówienia jest dostawa półprzewodnikowych płytek szafirowych (wafers) wymienionych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poniżej wg nazwy i potrzebnej ilości: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płytki szafirowe </w:t>
        <w:tab/>
        <w:tab/>
        <w:t xml:space="preserve">2 szt.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Zakres przedmiotu zamówienia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Szczegółowy opis przedmiotu zamówienia znajduje się w punkcie 5 niniejszego dokumentu. 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Kryteria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  <w:t xml:space="preserve">Oferty oceniane będą wg skali punktowej z maksymalną liczbą punktów wynoszącą 100.</w:t>
      </w:r>
      <w:r w:rsidDel="00000000" w:rsidR="00000000" w:rsidRPr="00000000">
        <w:rPr>
          <w:rtl w:val="0"/>
        </w:rPr>
      </w:r>
    </w:p>
    <w:tbl>
      <w:tblPr>
        <w:tblStyle w:val="Table1"/>
        <w:tblW w:w="9353.0" w:type="dxa"/>
        <w:jc w:val="left"/>
        <w:tblInd w:w="0.0" w:type="dxa"/>
        <w:tblLayout w:type="fixed"/>
        <w:tblLook w:val="0000"/>
      </w:tblPr>
      <w:tblGrid>
        <w:gridCol w:w="2974"/>
        <w:gridCol w:w="3119"/>
        <w:gridCol w:w="3260"/>
        <w:tblGridChange w:id="0">
          <w:tblGrid>
            <w:gridCol w:w="2974"/>
            <w:gridCol w:w="3119"/>
            <w:gridCol w:w="3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Kryterium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Maksymalna ilość punktów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Metoda przyznawania punktów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Cena netto (P)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 x Pmin/Pi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Gdzie: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Pi – cena netto towarów - dla danej przedłożonej oferty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Pmin - minimalna cena netto towarów spośród wszystkich przedłożonych ofert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S – liczba punktów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Końcowa punktacja zostanie wyliczona poprzez zsumowanie składowych cząstkowych, a następnie zaokrąglona do dwóch miejsc po przecinku. (zaokrąglając od „5” w górę)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Termin wykonania zamówienia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Najszybciej jak to możliwe, nie później niż  10 tygodni od dnia złożenia zamówienia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Termin realizacji zamówienia obejmuje gotowość do przekazania towaru Zamawiającemu, odpowiadającego zastosowaniu zasady EXW Incoterms2020.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Zgodnie z zasadą EXW (ex works), za moment dostarczenia towaru uznaje się moment pozostawienia go do dyspozycji kupującego w miejscu wskazanym przez dostawcę (fabryka, zakład etc.).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Zamawiający dopuszcza możliwość zastosowania innej zasady Incoterms2020 (m.in. FCA, DAP etc.), pod warunkiem dotrzymania terminu, o którym mowa powyżej.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Parametry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5.1 Szczegółowy zakres przedmiotu zamówienia</w:t>
      </w:r>
    </w:p>
    <w:tbl>
      <w:tblPr>
        <w:tblStyle w:val="Table2"/>
        <w:tblW w:w="9225.0" w:type="dxa"/>
        <w:jc w:val="left"/>
        <w:tblInd w:w="140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2190"/>
        <w:gridCol w:w="2745"/>
        <w:gridCol w:w="2760"/>
        <w:tblGridChange w:id="0">
          <w:tblGrid>
            <w:gridCol w:w="1530"/>
            <w:gridCol w:w="2190"/>
            <w:gridCol w:w="2745"/>
            <w:gridCol w:w="276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shd w:fill="dddddd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Nazwa towaru</w:t>
            </w:r>
          </w:p>
        </w:tc>
        <w:tc>
          <w:tcPr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Parametr 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Specyfikacja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Płytki szafirowe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Średnica: 200 mm +/- 0.1 mm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Grubość: 1.25 mm +/- 0.1mm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Metoda wzrostu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Kyropolos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Orientacja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C-Plane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Wykończenie powierzchni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Dwustronnie polerowana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Strona przednia polerowana - jakość 40-60</w:t>
              <w:br w:type="textWrapping"/>
              <w:t xml:space="preserve">Strona tylna polerowana</w:t>
            </w:r>
          </w:p>
        </w:tc>
      </w:tr>
    </w:tbl>
    <w:p w:rsidR="00000000" w:rsidDel="00000000" w:rsidP="00000000" w:rsidRDefault="00000000" w:rsidRPr="00000000" w14:paraId="00000034">
      <w:pPr>
        <w:spacing w:after="0" w:line="36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b w:val="1"/>
        <w:sz w:val="28"/>
        <w:szCs w:val="28"/>
      </w:rPr>
      <w:drawing>
        <wp:inline distB="0" distT="0" distL="0" distR="0">
          <wp:extent cx="5760720" cy="67754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sz w:val="20"/>
        <w:szCs w:val="20"/>
        <w:rtl w:val="0"/>
      </w:rPr>
      <w:t xml:space="preserve">Strona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z 1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KV2e4tYaIcvRy38VmaEKPcq3tw==">AMUW2mVM/2N7yv28CFPviPVwtQ6dunWiElKs0yUS32lZCGodgYlkcJ1QtYmHIMBdmi0MAiIHW9eqYcJQ4iCyiorSrA9v6xr6RPvb/vViy/HqEFBZryeEXqjk5UEvPnB5FgDC5gNO6H2G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2020-10-16T19:05:00Z</dcterms:created>
  <dc:creator>Dominik Nowak</dc:creator>
</cp:coreProperties>
</file>