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7E1A0" w14:textId="77777777" w:rsidR="00911C92" w:rsidRDefault="005514CA">
      <w:pPr>
        <w:spacing w:before="100" w:after="0" w:line="360" w:lineRule="auto"/>
        <w:ind w:left="3600" w:firstLine="720"/>
        <w:jc w:val="center"/>
        <w:rPr>
          <w:b/>
        </w:rPr>
      </w:pPr>
      <w:r>
        <w:rPr>
          <w:b/>
        </w:rPr>
        <w:t xml:space="preserve">Attachment no 1 </w:t>
      </w:r>
    </w:p>
    <w:p w14:paraId="7B679ED3" w14:textId="77777777" w:rsidR="00911C92" w:rsidRDefault="005514CA">
      <w:pPr>
        <w:spacing w:before="100" w:after="0" w:line="360" w:lineRule="auto"/>
        <w:jc w:val="center"/>
        <w:rPr>
          <w:b/>
        </w:rPr>
      </w:pPr>
      <w:r>
        <w:rPr>
          <w:b/>
        </w:rPr>
        <w:t xml:space="preserve">ORDER DESCRIPTION  </w:t>
      </w:r>
    </w:p>
    <w:p w14:paraId="5144ED7A" w14:textId="77777777" w:rsidR="00911C92" w:rsidRDefault="005514CA">
      <w:pPr>
        <w:numPr>
          <w:ilvl w:val="0"/>
          <w:numId w:val="1"/>
        </w:numPr>
        <w:pBdr>
          <w:top w:val="nil"/>
          <w:left w:val="nil"/>
          <w:bottom w:val="nil"/>
          <w:right w:val="nil"/>
          <w:between w:val="nil"/>
        </w:pBdr>
        <w:spacing w:after="0" w:line="360" w:lineRule="auto"/>
        <w:rPr>
          <w:b/>
          <w:color w:val="000000"/>
          <w:u w:val="single"/>
        </w:rPr>
      </w:pPr>
      <w:r>
        <w:rPr>
          <w:b/>
          <w:color w:val="000000"/>
          <w:u w:val="single"/>
        </w:rPr>
        <w:t>Object of the contract</w:t>
      </w:r>
    </w:p>
    <w:p w14:paraId="5C573FA7" w14:textId="77777777" w:rsidR="00911C92" w:rsidRDefault="005514CA">
      <w:pPr>
        <w:spacing w:after="0" w:line="240" w:lineRule="auto"/>
        <w:jc w:val="both"/>
      </w:pPr>
      <w:r>
        <w:t>The subject of the order is the supply of gas listed below by name and quantity needed:</w:t>
      </w:r>
    </w:p>
    <w:p w14:paraId="1A31DDCF" w14:textId="77777777" w:rsidR="00911C92" w:rsidRDefault="00911C92">
      <w:pPr>
        <w:spacing w:after="0" w:line="240" w:lineRule="auto"/>
        <w:jc w:val="both"/>
      </w:pPr>
    </w:p>
    <w:p w14:paraId="06171682" w14:textId="77777777" w:rsidR="00911C92" w:rsidRDefault="005514CA">
      <w:pPr>
        <w:spacing w:after="0" w:line="240" w:lineRule="auto"/>
        <w:ind w:left="567"/>
        <w:jc w:val="both"/>
      </w:pPr>
      <w:r>
        <w:t>1. Arsine (AsH</w:t>
      </w:r>
      <w:r>
        <w:rPr>
          <w:vertAlign w:val="subscript"/>
        </w:rPr>
        <w:t>3</w:t>
      </w:r>
      <w:r>
        <w:t xml:space="preserve">)            27 kg </w:t>
      </w:r>
    </w:p>
    <w:p w14:paraId="3EC73791" w14:textId="77777777" w:rsidR="00911C92" w:rsidRDefault="00911C92">
      <w:pPr>
        <w:spacing w:after="0" w:line="240" w:lineRule="auto"/>
        <w:jc w:val="both"/>
      </w:pPr>
    </w:p>
    <w:p w14:paraId="7BAB944F" w14:textId="77777777" w:rsidR="00911C92" w:rsidRDefault="00911C92">
      <w:pPr>
        <w:spacing w:after="0" w:line="240" w:lineRule="auto"/>
        <w:rPr>
          <w:b/>
          <w:color w:val="000000"/>
        </w:rPr>
      </w:pPr>
    </w:p>
    <w:p w14:paraId="0065845A" w14:textId="77777777" w:rsidR="00911C92" w:rsidRDefault="005514CA">
      <w:pPr>
        <w:numPr>
          <w:ilvl w:val="0"/>
          <w:numId w:val="1"/>
        </w:numPr>
        <w:pBdr>
          <w:top w:val="nil"/>
          <w:left w:val="nil"/>
          <w:bottom w:val="nil"/>
          <w:right w:val="nil"/>
          <w:between w:val="nil"/>
        </w:pBdr>
        <w:spacing w:after="0" w:line="360" w:lineRule="auto"/>
        <w:rPr>
          <w:b/>
          <w:color w:val="000000"/>
          <w:u w:val="single"/>
        </w:rPr>
      </w:pPr>
      <w:r>
        <w:rPr>
          <w:b/>
          <w:color w:val="000000"/>
          <w:u w:val="single"/>
        </w:rPr>
        <w:t>The scope of the subject of the contract</w:t>
      </w:r>
    </w:p>
    <w:p w14:paraId="53484632" w14:textId="60D4AF26" w:rsidR="00C344D9" w:rsidRDefault="005514CA" w:rsidP="00C344D9">
      <w:pPr>
        <w:spacing w:after="0" w:line="240" w:lineRule="auto"/>
        <w:jc w:val="both"/>
        <w:rPr>
          <w:b/>
        </w:rPr>
      </w:pPr>
      <w:r>
        <w:rPr>
          <w:b/>
        </w:rPr>
        <w:t xml:space="preserve">A detailed description of the subject of the contract is provided in section 5 of this document. The total price for the product specified in point 1 should include the total </w:t>
      </w:r>
      <w:r w:rsidR="00C344D9">
        <w:rPr>
          <w:b/>
        </w:rPr>
        <w:t>cost.</w:t>
      </w:r>
    </w:p>
    <w:p w14:paraId="158BF5E7" w14:textId="42E8F2AC" w:rsidR="00911C92" w:rsidRPr="00C344D9" w:rsidRDefault="005514CA" w:rsidP="00C344D9">
      <w:pPr>
        <w:pStyle w:val="Akapitzlist"/>
        <w:numPr>
          <w:ilvl w:val="0"/>
          <w:numId w:val="1"/>
        </w:numPr>
        <w:spacing w:after="0" w:line="240" w:lineRule="auto"/>
        <w:jc w:val="both"/>
        <w:rPr>
          <w:b/>
          <w:color w:val="000000"/>
          <w:u w:val="single"/>
        </w:rPr>
      </w:pPr>
      <w:r w:rsidRPr="00C344D9">
        <w:rPr>
          <w:b/>
          <w:color w:val="000000"/>
          <w:u w:val="single"/>
        </w:rPr>
        <w:t>Criterion</w:t>
      </w:r>
    </w:p>
    <w:p w14:paraId="35654F3F" w14:textId="77777777" w:rsidR="00911C92" w:rsidRDefault="005514CA">
      <w:pPr>
        <w:pBdr>
          <w:top w:val="nil"/>
          <w:left w:val="nil"/>
          <w:bottom w:val="nil"/>
          <w:right w:val="nil"/>
          <w:between w:val="nil"/>
        </w:pBdr>
        <w:spacing w:after="0" w:line="360" w:lineRule="auto"/>
        <w:ind w:left="360"/>
        <w:rPr>
          <w:b/>
          <w:color w:val="000000"/>
          <w:u w:val="single"/>
        </w:rPr>
      </w:pPr>
      <w:r>
        <w:rPr>
          <w:color w:val="000000"/>
        </w:rPr>
        <w:t>Offers will be evaluated according to a point scale with a maximum number of points of 100.</w:t>
      </w:r>
    </w:p>
    <w:tbl>
      <w:tblPr>
        <w:tblStyle w:val="a"/>
        <w:tblW w:w="9353" w:type="dxa"/>
        <w:tblInd w:w="0" w:type="dxa"/>
        <w:tblLayout w:type="fixed"/>
        <w:tblLook w:val="0000" w:firstRow="0" w:lastRow="0" w:firstColumn="0" w:lastColumn="0" w:noHBand="0" w:noVBand="0"/>
      </w:tblPr>
      <w:tblGrid>
        <w:gridCol w:w="2974"/>
        <w:gridCol w:w="3119"/>
        <w:gridCol w:w="3260"/>
      </w:tblGrid>
      <w:tr w:rsidR="00911C92" w14:paraId="5CEFE0CE" w14:textId="77777777">
        <w:tc>
          <w:tcPr>
            <w:tcW w:w="2974" w:type="dxa"/>
            <w:tcBorders>
              <w:top w:val="single" w:sz="4" w:space="0" w:color="000000"/>
              <w:left w:val="single" w:sz="4" w:space="0" w:color="000000"/>
              <w:bottom w:val="single" w:sz="4" w:space="0" w:color="000000"/>
            </w:tcBorders>
            <w:shd w:val="clear" w:color="auto" w:fill="DDDDDD"/>
            <w:tcMar>
              <w:top w:w="55" w:type="dxa"/>
              <w:left w:w="55" w:type="dxa"/>
              <w:bottom w:w="55" w:type="dxa"/>
              <w:right w:w="55" w:type="dxa"/>
            </w:tcMar>
            <w:vAlign w:val="center"/>
          </w:tcPr>
          <w:p w14:paraId="0A9E03CC" w14:textId="77777777" w:rsidR="00911C92" w:rsidRDefault="005514CA">
            <w:pPr>
              <w:widowControl w:val="0"/>
              <w:spacing w:after="0" w:line="240" w:lineRule="auto"/>
              <w:jc w:val="center"/>
            </w:pPr>
            <w:r>
              <w:t>Criterion</w:t>
            </w:r>
          </w:p>
        </w:tc>
        <w:tc>
          <w:tcPr>
            <w:tcW w:w="3119" w:type="dxa"/>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6B046FC4" w14:textId="77777777" w:rsidR="00911C92" w:rsidRDefault="005514CA">
            <w:pPr>
              <w:widowControl w:val="0"/>
              <w:spacing w:after="0" w:line="240" w:lineRule="auto"/>
              <w:jc w:val="center"/>
            </w:pPr>
            <w:r>
              <w:t>Maximum number of points S</w:t>
            </w:r>
          </w:p>
        </w:tc>
        <w:tc>
          <w:tcPr>
            <w:tcW w:w="3260" w:type="dxa"/>
            <w:tcBorders>
              <w:top w:val="single" w:sz="4" w:space="0" w:color="000000"/>
              <w:left w:val="single" w:sz="4" w:space="0" w:color="000000"/>
              <w:bottom w:val="single" w:sz="4" w:space="0" w:color="000000"/>
              <w:right w:val="single" w:sz="4" w:space="0" w:color="000000"/>
            </w:tcBorders>
            <w:shd w:val="clear" w:color="auto" w:fill="DDDDDD"/>
          </w:tcPr>
          <w:p w14:paraId="2440970F" w14:textId="77777777" w:rsidR="00911C92" w:rsidRDefault="005514CA">
            <w:pPr>
              <w:widowControl w:val="0"/>
              <w:spacing w:after="0" w:line="240" w:lineRule="auto"/>
              <w:jc w:val="center"/>
            </w:pPr>
            <w:r>
              <w:t>Method of awarding points</w:t>
            </w:r>
          </w:p>
        </w:tc>
      </w:tr>
      <w:tr w:rsidR="00911C92" w14:paraId="6E6CA90B" w14:textId="77777777">
        <w:tc>
          <w:tcPr>
            <w:tcW w:w="2974" w:type="dxa"/>
            <w:tcBorders>
              <w:left w:val="single" w:sz="4" w:space="0" w:color="000000"/>
              <w:bottom w:val="single" w:sz="4" w:space="0" w:color="000000"/>
            </w:tcBorders>
            <w:tcMar>
              <w:top w:w="55" w:type="dxa"/>
              <w:left w:w="55" w:type="dxa"/>
              <w:bottom w:w="55" w:type="dxa"/>
              <w:right w:w="55" w:type="dxa"/>
            </w:tcMar>
            <w:vAlign w:val="center"/>
          </w:tcPr>
          <w:p w14:paraId="79902E2D" w14:textId="77777777" w:rsidR="00911C92" w:rsidRDefault="005514CA">
            <w:pPr>
              <w:widowControl w:val="0"/>
              <w:spacing w:after="0" w:line="240" w:lineRule="auto"/>
            </w:pPr>
            <w:r>
              <w:t>Net price  (P)</w:t>
            </w:r>
          </w:p>
        </w:tc>
        <w:tc>
          <w:tcPr>
            <w:tcW w:w="3119"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2B487168" w14:textId="77777777" w:rsidR="00911C92" w:rsidRDefault="005514CA">
            <w:pPr>
              <w:widowControl w:val="0"/>
              <w:spacing w:after="0" w:line="240" w:lineRule="auto"/>
              <w:jc w:val="center"/>
            </w:pPr>
            <w:r>
              <w:t>100</w:t>
            </w:r>
          </w:p>
        </w:tc>
        <w:tc>
          <w:tcPr>
            <w:tcW w:w="3260" w:type="dxa"/>
            <w:tcBorders>
              <w:left w:val="single" w:sz="4" w:space="0" w:color="000000"/>
              <w:bottom w:val="single" w:sz="4" w:space="0" w:color="000000"/>
              <w:right w:val="single" w:sz="4" w:space="0" w:color="000000"/>
            </w:tcBorders>
            <w:vAlign w:val="center"/>
          </w:tcPr>
          <w:p w14:paraId="15335C67" w14:textId="77777777" w:rsidR="00911C92" w:rsidRDefault="005514CA">
            <w:pPr>
              <w:widowControl w:val="0"/>
              <w:spacing w:after="0" w:line="240" w:lineRule="auto"/>
              <w:jc w:val="center"/>
            </w:pPr>
            <w:r>
              <w:t>S x Pmin/Pi</w:t>
            </w:r>
          </w:p>
        </w:tc>
      </w:tr>
    </w:tbl>
    <w:p w14:paraId="599DEBBA" w14:textId="77777777" w:rsidR="00911C92" w:rsidRDefault="00911C92">
      <w:pPr>
        <w:pBdr>
          <w:top w:val="nil"/>
          <w:left w:val="nil"/>
          <w:bottom w:val="nil"/>
          <w:right w:val="nil"/>
          <w:between w:val="nil"/>
        </w:pBdr>
        <w:spacing w:after="0" w:line="360" w:lineRule="auto"/>
        <w:rPr>
          <w:b/>
          <w:color w:val="000000"/>
          <w:u w:val="single"/>
        </w:rPr>
      </w:pPr>
    </w:p>
    <w:p w14:paraId="1A692B98" w14:textId="77777777" w:rsidR="00911C92" w:rsidRDefault="005514CA">
      <w:pPr>
        <w:pBdr>
          <w:top w:val="nil"/>
          <w:left w:val="nil"/>
          <w:bottom w:val="nil"/>
          <w:right w:val="nil"/>
          <w:between w:val="nil"/>
        </w:pBdr>
        <w:spacing w:after="0" w:line="360" w:lineRule="auto"/>
        <w:rPr>
          <w:color w:val="000000"/>
        </w:rPr>
      </w:pPr>
      <w:r>
        <w:rPr>
          <w:color w:val="000000"/>
        </w:rPr>
        <w:t>Where:</w:t>
      </w:r>
    </w:p>
    <w:p w14:paraId="4FBA24B5" w14:textId="77777777" w:rsidR="00911C92" w:rsidRDefault="005514CA">
      <w:pPr>
        <w:numPr>
          <w:ilvl w:val="0"/>
          <w:numId w:val="2"/>
        </w:numPr>
        <w:spacing w:after="0" w:line="240" w:lineRule="auto"/>
        <w:jc w:val="both"/>
      </w:pPr>
      <w:r>
        <w:t>Pi – net price of goods delivery - for the given offer</w:t>
      </w:r>
    </w:p>
    <w:p w14:paraId="331F2053" w14:textId="77777777" w:rsidR="00911C92" w:rsidRDefault="005514CA">
      <w:pPr>
        <w:numPr>
          <w:ilvl w:val="0"/>
          <w:numId w:val="2"/>
        </w:numPr>
        <w:spacing w:after="0" w:line="240" w:lineRule="auto"/>
        <w:jc w:val="both"/>
        <w:rPr>
          <w:u w:val="single"/>
        </w:rPr>
      </w:pPr>
      <w:r>
        <w:t>Pmin - the minimum delivery net price for the ordered goods from all offers submitted</w:t>
      </w:r>
    </w:p>
    <w:p w14:paraId="4C27F18F" w14:textId="77777777" w:rsidR="00911C92" w:rsidRDefault="005514CA">
      <w:pPr>
        <w:numPr>
          <w:ilvl w:val="0"/>
          <w:numId w:val="2"/>
        </w:numPr>
        <w:spacing w:after="0" w:line="240" w:lineRule="auto"/>
        <w:jc w:val="both"/>
        <w:rPr>
          <w:u w:val="single"/>
        </w:rPr>
      </w:pPr>
      <w:r>
        <w:t>S – number of points</w:t>
      </w:r>
    </w:p>
    <w:p w14:paraId="336AD9E2" w14:textId="77777777" w:rsidR="00911C92" w:rsidRDefault="005514CA">
      <w:pPr>
        <w:pBdr>
          <w:top w:val="nil"/>
          <w:left w:val="nil"/>
          <w:bottom w:val="nil"/>
          <w:right w:val="nil"/>
          <w:between w:val="nil"/>
        </w:pBdr>
        <w:spacing w:after="0" w:line="360" w:lineRule="auto"/>
        <w:rPr>
          <w:b/>
          <w:color w:val="000000"/>
          <w:u w:val="single"/>
        </w:rPr>
      </w:pPr>
      <w:bookmarkStart w:id="0" w:name="_heading=h.gjdgxs" w:colFirst="0" w:colLast="0"/>
      <w:bookmarkEnd w:id="0"/>
      <w:r>
        <w:t>The final score will be calculated by adding up the partial components and then rounded to two decimal places. (rounded from "5" up)</w:t>
      </w:r>
    </w:p>
    <w:p w14:paraId="25359243" w14:textId="77777777" w:rsidR="00911C92" w:rsidRDefault="005514CA">
      <w:pPr>
        <w:numPr>
          <w:ilvl w:val="0"/>
          <w:numId w:val="1"/>
        </w:numPr>
        <w:pBdr>
          <w:top w:val="nil"/>
          <w:left w:val="nil"/>
          <w:bottom w:val="nil"/>
          <w:right w:val="nil"/>
          <w:between w:val="nil"/>
        </w:pBdr>
        <w:spacing w:after="0" w:line="360" w:lineRule="auto"/>
        <w:rPr>
          <w:b/>
          <w:color w:val="000000"/>
          <w:u w:val="single"/>
        </w:rPr>
      </w:pPr>
      <w:r>
        <w:rPr>
          <w:b/>
          <w:color w:val="000000"/>
          <w:u w:val="single"/>
        </w:rPr>
        <w:t>Deadline for completing the order</w:t>
      </w:r>
    </w:p>
    <w:p w14:paraId="3661733A" w14:textId="3652E9CE" w:rsidR="001F325A" w:rsidRPr="001F325A" w:rsidRDefault="005514CA" w:rsidP="001F325A">
      <w:pPr>
        <w:pBdr>
          <w:top w:val="nil"/>
          <w:left w:val="nil"/>
          <w:bottom w:val="nil"/>
          <w:right w:val="nil"/>
          <w:between w:val="nil"/>
        </w:pBdr>
        <w:spacing w:line="360" w:lineRule="auto"/>
        <w:ind w:hanging="2"/>
        <w:jc w:val="both"/>
        <w:rPr>
          <w:b/>
          <w:u w:val="single"/>
        </w:rPr>
      </w:pPr>
      <w:r w:rsidRPr="001F325A">
        <w:rPr>
          <w:b/>
          <w:u w:val="single"/>
        </w:rPr>
        <w:t>1</w:t>
      </w:r>
      <w:r w:rsidR="000A5B11">
        <w:rPr>
          <w:b/>
          <w:u w:val="single"/>
        </w:rPr>
        <w:t>7</w:t>
      </w:r>
      <w:r w:rsidRPr="001F325A">
        <w:rPr>
          <w:b/>
          <w:u w:val="single"/>
        </w:rPr>
        <w:t xml:space="preserve"> weeks from the date of placing the order . The Ordering Party does not allow faster delivery of the subject of the contract as a week earlier. Then, the express consent of the Ordering Party is required.</w:t>
      </w:r>
      <w:r w:rsidR="001F325A" w:rsidRPr="001F325A">
        <w:rPr>
          <w:b/>
          <w:u w:val="single"/>
        </w:rPr>
        <w:t xml:space="preserve"> The ordering party requires the application of the EXW Incoterms 2020 delivery principle. EXW (ex works), ie the moment of delivery of the goods is considered to be at the disposal of the buyer in the area indicated by the supplier (factory, plant, etc.).</w:t>
      </w:r>
    </w:p>
    <w:p w14:paraId="1338E20B" w14:textId="538E3FC7" w:rsidR="00911C92" w:rsidRDefault="00911C92">
      <w:pPr>
        <w:pBdr>
          <w:top w:val="nil"/>
          <w:left w:val="nil"/>
          <w:bottom w:val="nil"/>
          <w:right w:val="nil"/>
          <w:between w:val="nil"/>
        </w:pBdr>
        <w:spacing w:after="0" w:line="360" w:lineRule="auto"/>
        <w:rPr>
          <w:b/>
          <w:u w:val="single"/>
        </w:rPr>
      </w:pPr>
    </w:p>
    <w:p w14:paraId="08448156" w14:textId="77777777" w:rsidR="00911C92" w:rsidRDefault="005514CA">
      <w:pPr>
        <w:pBdr>
          <w:top w:val="nil"/>
          <w:left w:val="nil"/>
          <w:bottom w:val="nil"/>
          <w:right w:val="nil"/>
          <w:between w:val="nil"/>
        </w:pBdr>
        <w:spacing w:after="0" w:line="360" w:lineRule="auto"/>
        <w:rPr>
          <w:b/>
          <w:color w:val="000000"/>
          <w:u w:val="single"/>
        </w:rPr>
      </w:pPr>
      <w:r>
        <w:rPr>
          <w:b/>
        </w:rPr>
        <w:t>5.</w:t>
      </w:r>
      <w:r>
        <w:t xml:space="preserve"> </w:t>
      </w:r>
      <w:r>
        <w:rPr>
          <w:b/>
          <w:color w:val="000000"/>
          <w:u w:val="single"/>
        </w:rPr>
        <w:t xml:space="preserve">Parameters </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8"/>
        <w:gridCol w:w="4832"/>
        <w:gridCol w:w="1531"/>
        <w:gridCol w:w="1531"/>
      </w:tblGrid>
      <w:tr w:rsidR="00627BFA" w:rsidRPr="00627BFA" w14:paraId="27F0E4E0" w14:textId="77777777" w:rsidTr="0024682B">
        <w:trPr>
          <w:trHeight w:val="240"/>
        </w:trPr>
        <w:tc>
          <w:tcPr>
            <w:tcW w:w="1178" w:type="dxa"/>
            <w:shd w:val="clear" w:color="auto" w:fill="DDDDDD"/>
            <w:vAlign w:val="center"/>
          </w:tcPr>
          <w:p w14:paraId="33327095" w14:textId="77777777" w:rsidR="00627BFA" w:rsidRPr="00627BFA" w:rsidRDefault="00627BFA" w:rsidP="00627BFA">
            <w:pPr>
              <w:widowControl w:val="0"/>
              <w:suppressAutoHyphens/>
              <w:spacing w:after="0" w:line="1" w:lineRule="atLeast"/>
              <w:ind w:leftChars="-1" w:hangingChars="1" w:hanging="2"/>
              <w:textDirection w:val="btLr"/>
              <w:textAlignment w:val="top"/>
              <w:outlineLvl w:val="0"/>
              <w:rPr>
                <w:position w:val="-1"/>
                <w:sz w:val="16"/>
                <w:szCs w:val="16"/>
                <w:lang w:val="pl-PL" w:eastAsia="en-US"/>
              </w:rPr>
            </w:pPr>
            <w:r w:rsidRPr="00627BFA">
              <w:rPr>
                <w:position w:val="-1"/>
                <w:sz w:val="16"/>
                <w:szCs w:val="16"/>
                <w:lang w:val="pl-PL" w:eastAsia="en-US"/>
              </w:rPr>
              <w:t>Product name</w:t>
            </w:r>
          </w:p>
        </w:tc>
        <w:tc>
          <w:tcPr>
            <w:tcW w:w="4832" w:type="dxa"/>
            <w:shd w:val="clear" w:color="auto" w:fill="DDDDDD"/>
            <w:tcMar>
              <w:top w:w="55" w:type="dxa"/>
              <w:left w:w="55" w:type="dxa"/>
              <w:bottom w:w="55" w:type="dxa"/>
              <w:right w:w="55" w:type="dxa"/>
            </w:tcMar>
          </w:tcPr>
          <w:p w14:paraId="3115D953" w14:textId="77777777" w:rsidR="00627BFA" w:rsidRPr="00627BFA" w:rsidRDefault="00627BFA" w:rsidP="00627BFA">
            <w:pPr>
              <w:widowControl w:val="0"/>
              <w:suppressAutoHyphens/>
              <w:spacing w:after="0" w:line="1" w:lineRule="atLeast"/>
              <w:ind w:leftChars="-1" w:hangingChars="1" w:hanging="2"/>
              <w:textDirection w:val="btLr"/>
              <w:textAlignment w:val="top"/>
              <w:outlineLvl w:val="0"/>
              <w:rPr>
                <w:position w:val="-1"/>
                <w:sz w:val="16"/>
                <w:szCs w:val="16"/>
                <w:lang w:val="pl-PL" w:eastAsia="en-US"/>
              </w:rPr>
            </w:pPr>
            <w:r w:rsidRPr="00627BFA">
              <w:rPr>
                <w:position w:val="-1"/>
                <w:sz w:val="16"/>
                <w:szCs w:val="16"/>
                <w:lang w:val="pl-PL" w:eastAsia="en-US"/>
              </w:rPr>
              <w:t>Parametrer</w:t>
            </w:r>
          </w:p>
        </w:tc>
        <w:tc>
          <w:tcPr>
            <w:tcW w:w="1531" w:type="dxa"/>
            <w:shd w:val="clear" w:color="auto" w:fill="DDDDDD"/>
          </w:tcPr>
          <w:p w14:paraId="2E3F0CC9" w14:textId="77777777" w:rsidR="00627BFA" w:rsidRPr="00627BFA" w:rsidRDefault="00627BFA" w:rsidP="00627BFA">
            <w:pPr>
              <w:widowControl w:val="0"/>
              <w:suppressAutoHyphens/>
              <w:spacing w:after="0" w:line="1" w:lineRule="atLeast"/>
              <w:ind w:leftChars="-1" w:hangingChars="1" w:hanging="2"/>
              <w:textDirection w:val="btLr"/>
              <w:textAlignment w:val="top"/>
              <w:outlineLvl w:val="0"/>
              <w:rPr>
                <w:position w:val="-1"/>
                <w:sz w:val="16"/>
                <w:szCs w:val="16"/>
                <w:lang w:val="pl-PL" w:eastAsia="en-US"/>
              </w:rPr>
            </w:pPr>
            <w:r w:rsidRPr="00627BFA">
              <w:rPr>
                <w:position w:val="-1"/>
                <w:sz w:val="16"/>
                <w:szCs w:val="16"/>
                <w:lang w:val="pl-PL" w:eastAsia="en-US"/>
              </w:rPr>
              <w:t>Specification</w:t>
            </w:r>
          </w:p>
        </w:tc>
        <w:tc>
          <w:tcPr>
            <w:tcW w:w="1531" w:type="dxa"/>
            <w:shd w:val="clear" w:color="auto" w:fill="DDDDDD"/>
          </w:tcPr>
          <w:p w14:paraId="43DA475F" w14:textId="77777777" w:rsidR="00627BFA" w:rsidRPr="00627BFA" w:rsidRDefault="00627BFA" w:rsidP="00627BFA">
            <w:pPr>
              <w:suppressAutoHyphens/>
              <w:spacing w:after="0" w:line="1" w:lineRule="atLeast"/>
              <w:ind w:leftChars="-1" w:hangingChars="1" w:hanging="2"/>
              <w:textDirection w:val="btLr"/>
              <w:textAlignment w:val="top"/>
              <w:outlineLvl w:val="0"/>
              <w:rPr>
                <w:b/>
                <w:position w:val="-1"/>
                <w:sz w:val="16"/>
                <w:szCs w:val="16"/>
                <w:lang w:eastAsia="en-US"/>
              </w:rPr>
            </w:pPr>
            <w:r w:rsidRPr="00627BFA">
              <w:rPr>
                <w:b/>
                <w:position w:val="-1"/>
                <w:sz w:val="16"/>
                <w:szCs w:val="16"/>
                <w:lang w:eastAsia="en-US"/>
              </w:rPr>
              <w:t xml:space="preserve">     has / does not have; yes / no</w:t>
            </w:r>
          </w:p>
        </w:tc>
      </w:tr>
      <w:tr w:rsidR="00627BFA" w:rsidRPr="00627BFA" w14:paraId="0CCCF5EE" w14:textId="77777777" w:rsidTr="0024682B">
        <w:trPr>
          <w:trHeight w:val="238"/>
        </w:trPr>
        <w:tc>
          <w:tcPr>
            <w:tcW w:w="1178" w:type="dxa"/>
            <w:vMerge w:val="restart"/>
            <w:vAlign w:val="center"/>
          </w:tcPr>
          <w:p w14:paraId="5F89254A" w14:textId="77777777" w:rsidR="00627BFA" w:rsidRPr="00627BFA" w:rsidRDefault="00627BFA" w:rsidP="00627BFA">
            <w:pPr>
              <w:suppressAutoHyphens/>
              <w:spacing w:after="0" w:line="1" w:lineRule="atLeast"/>
              <w:ind w:leftChars="-1" w:hangingChars="1" w:hanging="2"/>
              <w:textDirection w:val="btLr"/>
              <w:textAlignment w:val="top"/>
              <w:outlineLvl w:val="0"/>
              <w:rPr>
                <w:b/>
                <w:position w:val="-1"/>
                <w:lang w:val="pl-PL" w:eastAsia="en-US"/>
              </w:rPr>
            </w:pPr>
            <w:r w:rsidRPr="00627BFA">
              <w:rPr>
                <w:position w:val="-1"/>
                <w:lang w:val="pl-PL" w:eastAsia="en-US"/>
              </w:rPr>
              <w:t>Arsine (AsH</w:t>
            </w:r>
            <w:r w:rsidRPr="00627BFA">
              <w:rPr>
                <w:position w:val="-1"/>
                <w:vertAlign w:val="subscript"/>
                <w:lang w:val="pl-PL" w:eastAsia="en-US"/>
              </w:rPr>
              <w:t>3</w:t>
            </w:r>
            <w:r w:rsidRPr="00627BFA">
              <w:rPr>
                <w:position w:val="-1"/>
                <w:lang w:val="pl-PL" w:eastAsia="en-US"/>
              </w:rPr>
              <w:t>)</w:t>
            </w:r>
          </w:p>
        </w:tc>
        <w:tc>
          <w:tcPr>
            <w:tcW w:w="4832" w:type="dxa"/>
            <w:tcMar>
              <w:top w:w="55" w:type="dxa"/>
              <w:left w:w="55" w:type="dxa"/>
              <w:bottom w:w="55" w:type="dxa"/>
              <w:right w:w="55" w:type="dxa"/>
            </w:tcMar>
          </w:tcPr>
          <w:p w14:paraId="2B685F67" w14:textId="77777777" w:rsidR="00627BFA" w:rsidRPr="00627BFA" w:rsidRDefault="00627BFA" w:rsidP="00627BFA">
            <w:pPr>
              <w:suppressAutoHyphens/>
              <w:spacing w:after="0" w:line="1" w:lineRule="atLeast"/>
              <w:ind w:leftChars="-1" w:hangingChars="1" w:hanging="2"/>
              <w:textDirection w:val="btLr"/>
              <w:textAlignment w:val="top"/>
              <w:outlineLvl w:val="0"/>
              <w:rPr>
                <w:position w:val="-1"/>
                <w:lang w:val="pl-PL" w:eastAsia="en-US"/>
              </w:rPr>
            </w:pPr>
            <w:r w:rsidRPr="00627BFA">
              <w:rPr>
                <w:position w:val="-1"/>
                <w:lang w:val="pl-PL" w:eastAsia="en-US"/>
              </w:rPr>
              <w:t>Grade:</w:t>
            </w:r>
          </w:p>
        </w:tc>
        <w:tc>
          <w:tcPr>
            <w:tcW w:w="1531" w:type="dxa"/>
          </w:tcPr>
          <w:p w14:paraId="5E20ABE3" w14:textId="77777777" w:rsidR="00627BFA" w:rsidRPr="00627BFA" w:rsidRDefault="00627BFA" w:rsidP="00627BFA">
            <w:pPr>
              <w:suppressAutoHyphens/>
              <w:spacing w:after="0" w:line="1" w:lineRule="atLeast"/>
              <w:ind w:leftChars="-1" w:hangingChars="1" w:hanging="2"/>
              <w:textDirection w:val="btLr"/>
              <w:textAlignment w:val="top"/>
              <w:outlineLvl w:val="0"/>
              <w:rPr>
                <w:position w:val="-1"/>
                <w:lang w:val="pl-PL" w:eastAsia="en-US"/>
              </w:rPr>
            </w:pPr>
            <w:r w:rsidRPr="00627BFA">
              <w:rPr>
                <w:position w:val="-1"/>
                <w:lang w:val="pl-PL" w:eastAsia="en-US"/>
              </w:rPr>
              <w:t>≥99.99995%</w:t>
            </w:r>
          </w:p>
        </w:tc>
        <w:tc>
          <w:tcPr>
            <w:tcW w:w="1531" w:type="dxa"/>
          </w:tcPr>
          <w:p w14:paraId="266F0985" w14:textId="77777777" w:rsidR="00627BFA" w:rsidRPr="00627BFA" w:rsidRDefault="00627BFA" w:rsidP="00627BFA">
            <w:pPr>
              <w:suppressAutoHyphens/>
              <w:spacing w:after="0" w:line="1" w:lineRule="atLeast"/>
              <w:ind w:leftChars="-1" w:hangingChars="1" w:hanging="2"/>
              <w:textDirection w:val="btLr"/>
              <w:textAlignment w:val="top"/>
              <w:outlineLvl w:val="0"/>
              <w:rPr>
                <w:position w:val="-1"/>
                <w:lang w:val="pl-PL" w:eastAsia="en-US"/>
              </w:rPr>
            </w:pPr>
            <w:r w:rsidRPr="00627BFA">
              <w:rPr>
                <w:position w:val="-1"/>
                <w:lang w:val="pl-PL" w:eastAsia="en-US"/>
              </w:rPr>
              <w:t>………..</w:t>
            </w:r>
          </w:p>
        </w:tc>
      </w:tr>
      <w:tr w:rsidR="00627BFA" w:rsidRPr="00627BFA" w14:paraId="3A357E0B" w14:textId="77777777" w:rsidTr="0024682B">
        <w:trPr>
          <w:trHeight w:val="213"/>
        </w:trPr>
        <w:tc>
          <w:tcPr>
            <w:tcW w:w="1178" w:type="dxa"/>
            <w:vMerge/>
            <w:vAlign w:val="center"/>
          </w:tcPr>
          <w:p w14:paraId="2E03714C" w14:textId="77777777" w:rsidR="00627BFA" w:rsidRPr="00627BFA" w:rsidRDefault="00627BFA" w:rsidP="00627BFA">
            <w:pPr>
              <w:widowControl w:val="0"/>
              <w:suppressAutoHyphens/>
              <w:spacing w:after="0"/>
              <w:ind w:leftChars="-1" w:hangingChars="1" w:hanging="2"/>
              <w:textDirection w:val="btLr"/>
              <w:textAlignment w:val="top"/>
              <w:outlineLvl w:val="0"/>
              <w:rPr>
                <w:position w:val="-1"/>
                <w:lang w:val="pl-PL" w:eastAsia="en-US"/>
              </w:rPr>
            </w:pPr>
          </w:p>
        </w:tc>
        <w:tc>
          <w:tcPr>
            <w:tcW w:w="4832" w:type="dxa"/>
            <w:tcMar>
              <w:top w:w="55" w:type="dxa"/>
              <w:left w:w="55" w:type="dxa"/>
              <w:bottom w:w="55" w:type="dxa"/>
              <w:right w:w="55" w:type="dxa"/>
            </w:tcMar>
          </w:tcPr>
          <w:p w14:paraId="551E2F2C" w14:textId="77777777" w:rsidR="00627BFA" w:rsidRPr="00627BFA" w:rsidRDefault="00627BFA" w:rsidP="00627BFA">
            <w:pPr>
              <w:suppressAutoHyphens/>
              <w:spacing w:after="0" w:line="1" w:lineRule="atLeast"/>
              <w:ind w:leftChars="-1" w:hangingChars="1" w:hanging="2"/>
              <w:textDirection w:val="btLr"/>
              <w:textAlignment w:val="top"/>
              <w:outlineLvl w:val="0"/>
              <w:rPr>
                <w:b/>
                <w:position w:val="-1"/>
                <w:u w:val="single"/>
                <w:lang w:val="pl-PL" w:eastAsia="en-US"/>
              </w:rPr>
            </w:pPr>
            <w:r w:rsidRPr="00627BFA">
              <w:rPr>
                <w:position w:val="-1"/>
                <w:lang w:val="pl-PL" w:eastAsia="en-US"/>
              </w:rPr>
              <w:t>Valve Connection</w:t>
            </w:r>
          </w:p>
        </w:tc>
        <w:tc>
          <w:tcPr>
            <w:tcW w:w="1531" w:type="dxa"/>
          </w:tcPr>
          <w:p w14:paraId="02049E87" w14:textId="77777777" w:rsidR="00627BFA" w:rsidRPr="00627BFA" w:rsidRDefault="00627BFA" w:rsidP="00627BFA">
            <w:pPr>
              <w:suppressAutoHyphens/>
              <w:spacing w:after="0" w:line="1" w:lineRule="atLeast"/>
              <w:ind w:leftChars="-1" w:hangingChars="1" w:hanging="2"/>
              <w:textDirection w:val="btLr"/>
              <w:textAlignment w:val="top"/>
              <w:outlineLvl w:val="0"/>
              <w:rPr>
                <w:position w:val="-1"/>
                <w:lang w:val="pl-PL" w:eastAsia="en-US"/>
              </w:rPr>
            </w:pPr>
            <w:r w:rsidRPr="00627BFA">
              <w:rPr>
                <w:position w:val="-1"/>
                <w:lang w:val="pl-PL" w:eastAsia="en-US"/>
              </w:rPr>
              <w:t xml:space="preserve">Din 1 or Diss 632 Pneumatic </w:t>
            </w:r>
          </w:p>
        </w:tc>
        <w:tc>
          <w:tcPr>
            <w:tcW w:w="1531" w:type="dxa"/>
          </w:tcPr>
          <w:p w14:paraId="064257F8" w14:textId="77777777" w:rsidR="00627BFA" w:rsidRPr="00627BFA" w:rsidRDefault="00627BFA" w:rsidP="00627BFA">
            <w:pPr>
              <w:suppressAutoHyphens/>
              <w:spacing w:after="0" w:line="1" w:lineRule="atLeast"/>
              <w:ind w:leftChars="-1" w:hangingChars="1" w:hanging="2"/>
              <w:textDirection w:val="btLr"/>
              <w:textAlignment w:val="top"/>
              <w:outlineLvl w:val="0"/>
              <w:rPr>
                <w:position w:val="-1"/>
                <w:lang w:val="pl-PL" w:eastAsia="en-US"/>
              </w:rPr>
            </w:pPr>
            <w:r w:rsidRPr="00627BFA">
              <w:rPr>
                <w:position w:val="-1"/>
                <w:lang w:val="pl-PL" w:eastAsia="en-US"/>
              </w:rPr>
              <w:t>………..</w:t>
            </w:r>
          </w:p>
        </w:tc>
      </w:tr>
      <w:tr w:rsidR="00627BFA" w:rsidRPr="00627BFA" w14:paraId="68E05CED" w14:textId="77777777" w:rsidTr="0024682B">
        <w:trPr>
          <w:trHeight w:val="213"/>
        </w:trPr>
        <w:tc>
          <w:tcPr>
            <w:tcW w:w="1178" w:type="dxa"/>
            <w:vMerge/>
            <w:vAlign w:val="center"/>
          </w:tcPr>
          <w:p w14:paraId="31313844" w14:textId="77777777" w:rsidR="00627BFA" w:rsidRPr="00627BFA" w:rsidRDefault="00627BFA" w:rsidP="00627BFA">
            <w:pPr>
              <w:widowControl w:val="0"/>
              <w:suppressAutoHyphens/>
              <w:spacing w:after="0"/>
              <w:ind w:leftChars="-1" w:hangingChars="1" w:hanging="2"/>
              <w:textDirection w:val="btLr"/>
              <w:textAlignment w:val="top"/>
              <w:outlineLvl w:val="0"/>
              <w:rPr>
                <w:position w:val="-1"/>
                <w:lang w:val="pl-PL" w:eastAsia="en-US"/>
              </w:rPr>
            </w:pPr>
          </w:p>
        </w:tc>
        <w:tc>
          <w:tcPr>
            <w:tcW w:w="4832" w:type="dxa"/>
            <w:tcMar>
              <w:top w:w="55" w:type="dxa"/>
              <w:left w:w="55" w:type="dxa"/>
              <w:bottom w:w="55" w:type="dxa"/>
              <w:right w:w="55" w:type="dxa"/>
            </w:tcMar>
          </w:tcPr>
          <w:p w14:paraId="48484FCF" w14:textId="77777777" w:rsidR="00627BFA" w:rsidRPr="00627BFA" w:rsidRDefault="00627BFA" w:rsidP="00627BFA">
            <w:pPr>
              <w:suppressAutoHyphens/>
              <w:spacing w:after="0" w:line="1" w:lineRule="atLeast"/>
              <w:ind w:leftChars="-1" w:hangingChars="1" w:hanging="2"/>
              <w:textDirection w:val="btLr"/>
              <w:textAlignment w:val="top"/>
              <w:outlineLvl w:val="0"/>
              <w:rPr>
                <w:position w:val="-1"/>
                <w:u w:val="single"/>
                <w:lang w:eastAsia="en-US"/>
              </w:rPr>
            </w:pPr>
            <w:r w:rsidRPr="00627BFA">
              <w:rPr>
                <w:position w:val="-1"/>
                <w:u w:val="single"/>
                <w:lang w:eastAsia="en-US"/>
              </w:rPr>
              <w:t xml:space="preserve">Impurities: </w:t>
            </w:r>
          </w:p>
          <w:p w14:paraId="192AA081" w14:textId="77777777" w:rsidR="00627BFA" w:rsidRPr="00627BFA" w:rsidRDefault="00627BFA" w:rsidP="00627BFA">
            <w:pPr>
              <w:suppressAutoHyphens/>
              <w:spacing w:after="0" w:line="1" w:lineRule="atLeast"/>
              <w:ind w:leftChars="-1" w:hangingChars="1" w:hanging="2"/>
              <w:textDirection w:val="btLr"/>
              <w:textAlignment w:val="top"/>
              <w:outlineLvl w:val="0"/>
              <w:rPr>
                <w:position w:val="-1"/>
                <w:lang w:eastAsia="en-US"/>
              </w:rPr>
            </w:pPr>
            <w:r w:rsidRPr="00627BFA">
              <w:rPr>
                <w:position w:val="-1"/>
                <w:lang w:eastAsia="en-US"/>
              </w:rPr>
              <w:lastRenderedPageBreak/>
              <w:t>Carbon Monoxide (CO), Carbon Dioxide (CO2),</w:t>
            </w:r>
          </w:p>
        </w:tc>
        <w:tc>
          <w:tcPr>
            <w:tcW w:w="1531" w:type="dxa"/>
          </w:tcPr>
          <w:p w14:paraId="135C2259" w14:textId="77777777" w:rsidR="00627BFA" w:rsidRPr="00627BFA" w:rsidRDefault="00627BFA" w:rsidP="00627BFA">
            <w:pPr>
              <w:suppressAutoHyphens/>
              <w:spacing w:after="0" w:line="1" w:lineRule="atLeast"/>
              <w:ind w:leftChars="-1" w:hangingChars="1" w:hanging="2"/>
              <w:textDirection w:val="btLr"/>
              <w:textAlignment w:val="top"/>
              <w:outlineLvl w:val="0"/>
              <w:rPr>
                <w:position w:val="-1"/>
                <w:lang w:val="pl-PL" w:eastAsia="en-US"/>
              </w:rPr>
            </w:pPr>
            <w:r w:rsidRPr="00627BFA">
              <w:rPr>
                <w:position w:val="-1"/>
                <w:lang w:val="pl-PL" w:eastAsia="en-US"/>
              </w:rPr>
              <w:lastRenderedPageBreak/>
              <w:t>≤10 ppbv</w:t>
            </w:r>
          </w:p>
        </w:tc>
        <w:tc>
          <w:tcPr>
            <w:tcW w:w="1531" w:type="dxa"/>
          </w:tcPr>
          <w:p w14:paraId="509E6D9F" w14:textId="77777777" w:rsidR="00627BFA" w:rsidRPr="00627BFA" w:rsidRDefault="00627BFA" w:rsidP="00627BFA">
            <w:pPr>
              <w:suppressAutoHyphens/>
              <w:spacing w:after="0" w:line="1" w:lineRule="atLeast"/>
              <w:ind w:leftChars="-1" w:hangingChars="1" w:hanging="2"/>
              <w:textDirection w:val="btLr"/>
              <w:textAlignment w:val="top"/>
              <w:outlineLvl w:val="0"/>
              <w:rPr>
                <w:position w:val="-1"/>
                <w:lang w:val="pl-PL" w:eastAsia="en-US"/>
              </w:rPr>
            </w:pPr>
            <w:r w:rsidRPr="00627BFA">
              <w:rPr>
                <w:position w:val="-1"/>
                <w:lang w:val="pl-PL" w:eastAsia="en-US"/>
              </w:rPr>
              <w:t>………..</w:t>
            </w:r>
          </w:p>
        </w:tc>
      </w:tr>
      <w:tr w:rsidR="00627BFA" w:rsidRPr="00627BFA" w14:paraId="0DB1B7C0" w14:textId="77777777" w:rsidTr="0024682B">
        <w:trPr>
          <w:trHeight w:val="213"/>
        </w:trPr>
        <w:tc>
          <w:tcPr>
            <w:tcW w:w="1178" w:type="dxa"/>
            <w:vMerge/>
            <w:vAlign w:val="center"/>
          </w:tcPr>
          <w:p w14:paraId="0259ED15" w14:textId="77777777" w:rsidR="00627BFA" w:rsidRPr="00627BFA" w:rsidRDefault="00627BFA" w:rsidP="00627BFA">
            <w:pPr>
              <w:widowControl w:val="0"/>
              <w:suppressAutoHyphens/>
              <w:spacing w:after="0"/>
              <w:ind w:leftChars="-1" w:hangingChars="1" w:hanging="2"/>
              <w:textDirection w:val="btLr"/>
              <w:textAlignment w:val="top"/>
              <w:outlineLvl w:val="0"/>
              <w:rPr>
                <w:position w:val="-1"/>
                <w:lang w:val="pl-PL" w:eastAsia="en-US"/>
              </w:rPr>
            </w:pPr>
          </w:p>
        </w:tc>
        <w:tc>
          <w:tcPr>
            <w:tcW w:w="4832" w:type="dxa"/>
            <w:tcMar>
              <w:top w:w="55" w:type="dxa"/>
              <w:left w:w="55" w:type="dxa"/>
              <w:bottom w:w="55" w:type="dxa"/>
              <w:right w:w="55" w:type="dxa"/>
            </w:tcMar>
          </w:tcPr>
          <w:p w14:paraId="4EE8F134" w14:textId="77777777" w:rsidR="00627BFA" w:rsidRPr="00627BFA" w:rsidRDefault="00627BFA" w:rsidP="00627BFA">
            <w:pPr>
              <w:suppressAutoHyphens/>
              <w:spacing w:after="0" w:line="1" w:lineRule="atLeast"/>
              <w:ind w:leftChars="-1" w:hangingChars="1" w:hanging="2"/>
              <w:textDirection w:val="btLr"/>
              <w:textAlignment w:val="top"/>
              <w:outlineLvl w:val="0"/>
              <w:rPr>
                <w:position w:val="-1"/>
                <w:u w:val="single"/>
                <w:lang w:eastAsia="en-US"/>
              </w:rPr>
            </w:pPr>
            <w:r w:rsidRPr="00627BFA">
              <w:rPr>
                <w:position w:val="-1"/>
                <w:u w:val="single"/>
                <w:lang w:eastAsia="en-US"/>
              </w:rPr>
              <w:t xml:space="preserve">Impurities: </w:t>
            </w:r>
          </w:p>
          <w:p w14:paraId="597A4909" w14:textId="77777777" w:rsidR="00627BFA" w:rsidRPr="00627BFA" w:rsidRDefault="00627BFA" w:rsidP="00627BFA">
            <w:pPr>
              <w:suppressAutoHyphens/>
              <w:spacing w:after="0" w:line="1" w:lineRule="atLeast"/>
              <w:ind w:leftChars="-1" w:hangingChars="1" w:hanging="2"/>
              <w:textDirection w:val="btLr"/>
              <w:textAlignment w:val="top"/>
              <w:outlineLvl w:val="0"/>
              <w:rPr>
                <w:position w:val="-1"/>
                <w:lang w:eastAsia="en-US"/>
              </w:rPr>
            </w:pPr>
            <w:r w:rsidRPr="00627BFA">
              <w:rPr>
                <w:position w:val="-1"/>
                <w:lang w:eastAsia="en-US"/>
              </w:rPr>
              <w:t>Oxygen (O2)</w:t>
            </w:r>
          </w:p>
        </w:tc>
        <w:tc>
          <w:tcPr>
            <w:tcW w:w="1531" w:type="dxa"/>
          </w:tcPr>
          <w:p w14:paraId="4350B363" w14:textId="77777777" w:rsidR="00627BFA" w:rsidRPr="00627BFA" w:rsidRDefault="00627BFA" w:rsidP="00627BFA">
            <w:pPr>
              <w:suppressAutoHyphens/>
              <w:spacing w:after="0" w:line="1" w:lineRule="atLeast"/>
              <w:ind w:leftChars="-1" w:hangingChars="1" w:hanging="2"/>
              <w:textDirection w:val="btLr"/>
              <w:textAlignment w:val="top"/>
              <w:outlineLvl w:val="0"/>
              <w:rPr>
                <w:position w:val="-1"/>
                <w:lang w:val="pl-PL" w:eastAsia="en-US"/>
              </w:rPr>
            </w:pPr>
            <w:r w:rsidRPr="00627BFA">
              <w:rPr>
                <w:position w:val="-1"/>
                <w:lang w:val="pl-PL" w:eastAsia="en-US"/>
              </w:rPr>
              <w:t>≤ 20 ppbv</w:t>
            </w:r>
          </w:p>
        </w:tc>
        <w:tc>
          <w:tcPr>
            <w:tcW w:w="1531" w:type="dxa"/>
          </w:tcPr>
          <w:p w14:paraId="09FEC3FF" w14:textId="77777777" w:rsidR="00627BFA" w:rsidRPr="00627BFA" w:rsidRDefault="00627BFA" w:rsidP="00627BFA">
            <w:pPr>
              <w:suppressAutoHyphens/>
              <w:spacing w:after="0" w:line="1" w:lineRule="atLeast"/>
              <w:ind w:leftChars="-1" w:hangingChars="1" w:hanging="2"/>
              <w:textDirection w:val="btLr"/>
              <w:textAlignment w:val="top"/>
              <w:outlineLvl w:val="0"/>
              <w:rPr>
                <w:position w:val="-1"/>
                <w:lang w:val="pl-PL" w:eastAsia="en-US"/>
              </w:rPr>
            </w:pPr>
            <w:r w:rsidRPr="00627BFA">
              <w:rPr>
                <w:position w:val="-1"/>
                <w:lang w:val="pl-PL" w:eastAsia="en-US"/>
              </w:rPr>
              <w:t>………..</w:t>
            </w:r>
          </w:p>
        </w:tc>
      </w:tr>
      <w:tr w:rsidR="00627BFA" w:rsidRPr="00627BFA" w14:paraId="4605A0C6" w14:textId="77777777" w:rsidTr="0024682B">
        <w:trPr>
          <w:trHeight w:val="213"/>
        </w:trPr>
        <w:tc>
          <w:tcPr>
            <w:tcW w:w="1178" w:type="dxa"/>
            <w:vMerge/>
            <w:vAlign w:val="center"/>
          </w:tcPr>
          <w:p w14:paraId="75E2F75F" w14:textId="77777777" w:rsidR="00627BFA" w:rsidRPr="00627BFA" w:rsidRDefault="00627BFA" w:rsidP="00627BFA">
            <w:pPr>
              <w:widowControl w:val="0"/>
              <w:suppressAutoHyphens/>
              <w:spacing w:after="0"/>
              <w:ind w:leftChars="-1" w:hangingChars="1" w:hanging="2"/>
              <w:textDirection w:val="btLr"/>
              <w:textAlignment w:val="top"/>
              <w:outlineLvl w:val="0"/>
              <w:rPr>
                <w:position w:val="-1"/>
                <w:lang w:val="pl-PL" w:eastAsia="en-US"/>
              </w:rPr>
            </w:pPr>
          </w:p>
        </w:tc>
        <w:tc>
          <w:tcPr>
            <w:tcW w:w="4832" w:type="dxa"/>
            <w:tcMar>
              <w:top w:w="55" w:type="dxa"/>
              <w:left w:w="55" w:type="dxa"/>
              <w:bottom w:w="55" w:type="dxa"/>
              <w:right w:w="55" w:type="dxa"/>
            </w:tcMar>
          </w:tcPr>
          <w:p w14:paraId="1F38E150" w14:textId="77777777" w:rsidR="00627BFA" w:rsidRPr="00627BFA" w:rsidRDefault="00627BFA" w:rsidP="00627BFA">
            <w:pPr>
              <w:suppressAutoHyphens/>
              <w:spacing w:after="0" w:line="1" w:lineRule="atLeast"/>
              <w:ind w:leftChars="-1" w:hangingChars="1" w:hanging="2"/>
              <w:textDirection w:val="btLr"/>
              <w:textAlignment w:val="top"/>
              <w:outlineLvl w:val="0"/>
              <w:rPr>
                <w:position w:val="-1"/>
                <w:u w:val="single"/>
                <w:lang w:eastAsia="en-US"/>
              </w:rPr>
            </w:pPr>
            <w:r w:rsidRPr="00627BFA">
              <w:rPr>
                <w:position w:val="-1"/>
                <w:u w:val="single"/>
                <w:lang w:eastAsia="en-US"/>
              </w:rPr>
              <w:t xml:space="preserve">Impurities: </w:t>
            </w:r>
          </w:p>
          <w:p w14:paraId="64287FD2" w14:textId="77777777" w:rsidR="00627BFA" w:rsidRPr="00627BFA" w:rsidRDefault="00627BFA" w:rsidP="00627BFA">
            <w:pPr>
              <w:suppressAutoHyphens/>
              <w:spacing w:after="0" w:line="1" w:lineRule="atLeast"/>
              <w:ind w:leftChars="-1" w:hangingChars="1" w:hanging="2"/>
              <w:textDirection w:val="btLr"/>
              <w:textAlignment w:val="top"/>
              <w:outlineLvl w:val="0"/>
              <w:rPr>
                <w:position w:val="-1"/>
                <w:lang w:eastAsia="en-US"/>
              </w:rPr>
            </w:pPr>
            <w:r w:rsidRPr="00627BFA">
              <w:rPr>
                <w:position w:val="-1"/>
                <w:lang w:eastAsia="en-US"/>
              </w:rPr>
              <w:t>Hydrogen Sulfide (H2S), Nitrogen (N2), Argon (Ar), Germane (GeH4), Silane (SiH4)</w:t>
            </w:r>
          </w:p>
        </w:tc>
        <w:tc>
          <w:tcPr>
            <w:tcW w:w="1531" w:type="dxa"/>
          </w:tcPr>
          <w:p w14:paraId="00BC7941" w14:textId="77777777" w:rsidR="00627BFA" w:rsidRPr="00627BFA" w:rsidRDefault="00627BFA" w:rsidP="00627BFA">
            <w:pPr>
              <w:suppressAutoHyphens/>
              <w:spacing w:after="0" w:line="1" w:lineRule="atLeast"/>
              <w:ind w:leftChars="-1" w:hangingChars="1" w:hanging="2"/>
              <w:textDirection w:val="btLr"/>
              <w:textAlignment w:val="top"/>
              <w:outlineLvl w:val="0"/>
              <w:rPr>
                <w:position w:val="-1"/>
                <w:lang w:val="pl-PL" w:eastAsia="en-US"/>
              </w:rPr>
            </w:pPr>
            <w:r w:rsidRPr="00627BFA">
              <w:rPr>
                <w:position w:val="-1"/>
                <w:lang w:val="pl-PL" w:eastAsia="en-US"/>
              </w:rPr>
              <w:t>≤50 ppbv</w:t>
            </w:r>
          </w:p>
        </w:tc>
        <w:tc>
          <w:tcPr>
            <w:tcW w:w="1531" w:type="dxa"/>
          </w:tcPr>
          <w:p w14:paraId="59845D8C" w14:textId="77777777" w:rsidR="00627BFA" w:rsidRPr="00627BFA" w:rsidRDefault="00627BFA" w:rsidP="00627BFA">
            <w:pPr>
              <w:suppressAutoHyphens/>
              <w:spacing w:after="0" w:line="1" w:lineRule="atLeast"/>
              <w:ind w:leftChars="-1" w:hangingChars="1" w:hanging="2"/>
              <w:textDirection w:val="btLr"/>
              <w:textAlignment w:val="top"/>
              <w:outlineLvl w:val="0"/>
              <w:rPr>
                <w:position w:val="-1"/>
                <w:lang w:val="pl-PL" w:eastAsia="en-US"/>
              </w:rPr>
            </w:pPr>
            <w:r w:rsidRPr="00627BFA">
              <w:rPr>
                <w:position w:val="-1"/>
                <w:lang w:val="pl-PL" w:eastAsia="en-US"/>
              </w:rPr>
              <w:t>………..</w:t>
            </w:r>
          </w:p>
        </w:tc>
      </w:tr>
      <w:tr w:rsidR="00627BFA" w:rsidRPr="00627BFA" w14:paraId="1FF0A1BF" w14:textId="77777777" w:rsidTr="0024682B">
        <w:trPr>
          <w:trHeight w:val="213"/>
        </w:trPr>
        <w:tc>
          <w:tcPr>
            <w:tcW w:w="1178" w:type="dxa"/>
            <w:vMerge/>
            <w:vAlign w:val="center"/>
          </w:tcPr>
          <w:p w14:paraId="60F593DC" w14:textId="77777777" w:rsidR="00627BFA" w:rsidRPr="00627BFA" w:rsidRDefault="00627BFA" w:rsidP="00627BFA">
            <w:pPr>
              <w:widowControl w:val="0"/>
              <w:suppressAutoHyphens/>
              <w:spacing w:after="0"/>
              <w:ind w:leftChars="-1" w:hangingChars="1" w:hanging="2"/>
              <w:textDirection w:val="btLr"/>
              <w:textAlignment w:val="top"/>
              <w:outlineLvl w:val="0"/>
              <w:rPr>
                <w:position w:val="-1"/>
                <w:lang w:val="pl-PL" w:eastAsia="en-US"/>
              </w:rPr>
            </w:pPr>
          </w:p>
        </w:tc>
        <w:tc>
          <w:tcPr>
            <w:tcW w:w="4832" w:type="dxa"/>
            <w:tcMar>
              <w:top w:w="55" w:type="dxa"/>
              <w:left w:w="55" w:type="dxa"/>
              <w:bottom w:w="55" w:type="dxa"/>
              <w:right w:w="55" w:type="dxa"/>
            </w:tcMar>
          </w:tcPr>
          <w:p w14:paraId="48364726" w14:textId="77777777" w:rsidR="00627BFA" w:rsidRPr="00627BFA" w:rsidRDefault="00627BFA" w:rsidP="00627BFA">
            <w:pPr>
              <w:suppressAutoHyphens/>
              <w:spacing w:after="0" w:line="1" w:lineRule="atLeast"/>
              <w:ind w:leftChars="-1" w:hangingChars="1" w:hanging="2"/>
              <w:textDirection w:val="btLr"/>
              <w:textAlignment w:val="top"/>
              <w:outlineLvl w:val="0"/>
              <w:rPr>
                <w:position w:val="-1"/>
                <w:u w:val="single"/>
                <w:lang w:eastAsia="en-US"/>
              </w:rPr>
            </w:pPr>
            <w:r w:rsidRPr="00627BFA">
              <w:rPr>
                <w:position w:val="-1"/>
                <w:u w:val="single"/>
                <w:lang w:eastAsia="en-US"/>
              </w:rPr>
              <w:t xml:space="preserve">Impurities: </w:t>
            </w:r>
          </w:p>
          <w:p w14:paraId="655449AE" w14:textId="77777777" w:rsidR="00627BFA" w:rsidRPr="00627BFA" w:rsidRDefault="00627BFA" w:rsidP="00627BFA">
            <w:pPr>
              <w:suppressAutoHyphens/>
              <w:spacing w:after="0" w:line="1" w:lineRule="atLeast"/>
              <w:ind w:leftChars="-1" w:hangingChars="1" w:hanging="2"/>
              <w:textDirection w:val="btLr"/>
              <w:textAlignment w:val="top"/>
              <w:outlineLvl w:val="0"/>
              <w:rPr>
                <w:position w:val="-1"/>
                <w:lang w:eastAsia="en-US"/>
              </w:rPr>
            </w:pPr>
            <w:r w:rsidRPr="00627BFA">
              <w:rPr>
                <w:position w:val="-1"/>
                <w:lang w:eastAsia="en-US"/>
              </w:rPr>
              <w:t xml:space="preserve">Ethane (C2H6), Methane (CH4), Water (H2O), </w:t>
            </w:r>
          </w:p>
        </w:tc>
        <w:tc>
          <w:tcPr>
            <w:tcW w:w="1531" w:type="dxa"/>
          </w:tcPr>
          <w:p w14:paraId="6D9B7FFC" w14:textId="77777777" w:rsidR="00627BFA" w:rsidRPr="00627BFA" w:rsidRDefault="00627BFA" w:rsidP="00627BFA">
            <w:pPr>
              <w:suppressAutoHyphens/>
              <w:spacing w:after="0" w:line="1" w:lineRule="atLeast"/>
              <w:ind w:leftChars="-1" w:hangingChars="1" w:hanging="2"/>
              <w:textDirection w:val="btLr"/>
              <w:textAlignment w:val="top"/>
              <w:outlineLvl w:val="0"/>
              <w:rPr>
                <w:position w:val="-1"/>
                <w:lang w:val="pl-PL" w:eastAsia="en-US"/>
              </w:rPr>
            </w:pPr>
            <w:r w:rsidRPr="00627BFA">
              <w:rPr>
                <w:position w:val="-1"/>
                <w:lang w:val="pl-PL" w:eastAsia="en-US"/>
              </w:rPr>
              <w:t>≤100 ppbv</w:t>
            </w:r>
          </w:p>
        </w:tc>
        <w:tc>
          <w:tcPr>
            <w:tcW w:w="1531" w:type="dxa"/>
          </w:tcPr>
          <w:p w14:paraId="0189D658" w14:textId="77777777" w:rsidR="00627BFA" w:rsidRPr="00627BFA" w:rsidRDefault="00627BFA" w:rsidP="00627BFA">
            <w:pPr>
              <w:suppressAutoHyphens/>
              <w:spacing w:after="0" w:line="1" w:lineRule="atLeast"/>
              <w:ind w:leftChars="-1" w:hangingChars="1" w:hanging="2"/>
              <w:textDirection w:val="btLr"/>
              <w:textAlignment w:val="top"/>
              <w:outlineLvl w:val="0"/>
              <w:rPr>
                <w:position w:val="-1"/>
                <w:lang w:val="pl-PL" w:eastAsia="en-US"/>
              </w:rPr>
            </w:pPr>
            <w:r w:rsidRPr="00627BFA">
              <w:rPr>
                <w:position w:val="-1"/>
                <w:lang w:val="pl-PL" w:eastAsia="en-US"/>
              </w:rPr>
              <w:t>………..</w:t>
            </w:r>
          </w:p>
        </w:tc>
      </w:tr>
    </w:tbl>
    <w:p w14:paraId="72088BC3" w14:textId="77777777" w:rsidR="00911C92" w:rsidRDefault="00911C92">
      <w:pPr>
        <w:spacing w:after="0" w:line="360" w:lineRule="auto"/>
      </w:pPr>
    </w:p>
    <w:p w14:paraId="4677DA7A" w14:textId="0D573132" w:rsidR="00911C92" w:rsidRPr="00DE0EC5" w:rsidRDefault="00911C92" w:rsidP="00DE0EC5">
      <w:pPr>
        <w:pBdr>
          <w:top w:val="nil"/>
          <w:left w:val="nil"/>
          <w:bottom w:val="nil"/>
          <w:right w:val="nil"/>
          <w:between w:val="nil"/>
        </w:pBdr>
        <w:spacing w:after="0" w:line="360" w:lineRule="auto"/>
        <w:rPr>
          <w:b/>
          <w:color w:val="000000"/>
        </w:rPr>
      </w:pPr>
    </w:p>
    <w:sectPr w:rsidR="00911C92" w:rsidRPr="00DE0EC5">
      <w:headerReference w:type="default" r:id="rId8"/>
      <w:pgSz w:w="11906" w:h="16838"/>
      <w:pgMar w:top="1417" w:right="70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5CC85" w14:textId="77777777" w:rsidR="00866B94" w:rsidRDefault="00866B94">
      <w:pPr>
        <w:spacing w:after="0" w:line="240" w:lineRule="auto"/>
      </w:pPr>
      <w:r>
        <w:separator/>
      </w:r>
    </w:p>
  </w:endnote>
  <w:endnote w:type="continuationSeparator" w:id="0">
    <w:p w14:paraId="62E0CBDF" w14:textId="77777777" w:rsidR="00866B94" w:rsidRDefault="00866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59912" w14:textId="77777777" w:rsidR="00866B94" w:rsidRDefault="00866B94">
      <w:pPr>
        <w:spacing w:after="0" w:line="240" w:lineRule="auto"/>
      </w:pPr>
      <w:r>
        <w:separator/>
      </w:r>
    </w:p>
  </w:footnote>
  <w:footnote w:type="continuationSeparator" w:id="0">
    <w:p w14:paraId="3C40169E" w14:textId="77777777" w:rsidR="00866B94" w:rsidRDefault="00866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FE378" w14:textId="30853BC4" w:rsidR="00911C92" w:rsidRDefault="005514CA">
    <w:pPr>
      <w:pBdr>
        <w:top w:val="nil"/>
        <w:left w:val="nil"/>
        <w:bottom w:val="nil"/>
        <w:right w:val="nil"/>
        <w:between w:val="nil"/>
      </w:pBdr>
      <w:tabs>
        <w:tab w:val="center" w:pos="4536"/>
        <w:tab w:val="right" w:pos="9072"/>
      </w:tabs>
      <w:spacing w:after="0" w:line="240" w:lineRule="auto"/>
      <w:jc w:val="right"/>
      <w:rPr>
        <w:color w:val="000000"/>
        <w:sz w:val="20"/>
        <w:szCs w:val="20"/>
      </w:rPr>
    </w:pPr>
    <w:r>
      <w:rPr>
        <w:b/>
        <w:noProof/>
        <w:sz w:val="28"/>
        <w:szCs w:val="28"/>
      </w:rPr>
      <w:drawing>
        <wp:inline distT="0" distB="0" distL="0" distR="0" wp14:anchorId="2FDFFDF4" wp14:editId="3F1E4E9C">
          <wp:extent cx="5760720" cy="67754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60720" cy="677545"/>
                  </a:xfrm>
                  <a:prstGeom prst="rect">
                    <a:avLst/>
                  </a:prstGeom>
                  <a:ln/>
                </pic:spPr>
              </pic:pic>
            </a:graphicData>
          </a:graphic>
        </wp:inline>
      </w:drawing>
    </w:r>
    <w:r w:rsidR="00FD5849">
      <w:rPr>
        <w:color w:val="000000"/>
        <w:sz w:val="20"/>
        <w:szCs w:val="20"/>
      </w:rPr>
      <w:t xml:space="preserve"> </w:t>
    </w:r>
  </w:p>
  <w:p w14:paraId="633656D9" w14:textId="77777777" w:rsidR="00911C92" w:rsidRDefault="00911C92">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300A3E"/>
    <w:multiLevelType w:val="multilevel"/>
    <w:tmpl w:val="5D503D3E"/>
    <w:lvl w:ilvl="0">
      <w:start w:val="1"/>
      <w:numFmt w:val="decimal"/>
      <w:lvlText w:val="%1."/>
      <w:lvlJc w:val="lef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0506219"/>
    <w:multiLevelType w:val="hybridMultilevel"/>
    <w:tmpl w:val="6EBCC2C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419392D"/>
    <w:multiLevelType w:val="multilevel"/>
    <w:tmpl w:val="4014C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C92"/>
    <w:rsid w:val="000A5B11"/>
    <w:rsid w:val="001F325A"/>
    <w:rsid w:val="00493D83"/>
    <w:rsid w:val="005514CA"/>
    <w:rsid w:val="00557FE7"/>
    <w:rsid w:val="00627BFA"/>
    <w:rsid w:val="00866B94"/>
    <w:rsid w:val="00890EB1"/>
    <w:rsid w:val="00911C92"/>
    <w:rsid w:val="00B94692"/>
    <w:rsid w:val="00BB7BC7"/>
    <w:rsid w:val="00C344D9"/>
    <w:rsid w:val="00DE0EC5"/>
    <w:rsid w:val="00FD58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A048D"/>
  <w15:docId w15:val="{7AD3E635-0951-46E1-8FB5-01E5F98AB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0"/>
    <w:tblPr>
      <w:tblStyleRowBandSize w:val="1"/>
      <w:tblStyleColBandSize w:val="1"/>
      <w:tblCellMar>
        <w:top w:w="28" w:type="dxa"/>
        <w:left w:w="28" w:type="dxa"/>
        <w:bottom w:w="28" w:type="dxa"/>
        <w:right w:w="28" w:type="dxa"/>
      </w:tblCellMar>
    </w:tblPr>
  </w:style>
  <w:style w:type="table" w:customStyle="1" w:styleId="1">
    <w:name w:val="1"/>
    <w:basedOn w:val="TableNormal0"/>
    <w:tblPr>
      <w:tblStyleRowBandSize w:val="1"/>
      <w:tblStyleColBandSize w:val="1"/>
      <w:tblCellMar>
        <w:left w:w="70" w:type="dxa"/>
        <w:right w:w="70" w:type="dxa"/>
      </w:tblCellMar>
    </w:tblPr>
  </w:style>
  <w:style w:type="paragraph" w:styleId="Akapitzlist">
    <w:name w:val="List Paragraph"/>
    <w:basedOn w:val="Normalny"/>
    <w:uiPriority w:val="34"/>
    <w:qFormat/>
    <w:rsid w:val="00840A56"/>
    <w:pPr>
      <w:ind w:left="720"/>
      <w:contextualSpacing/>
    </w:pPr>
  </w:style>
  <w:style w:type="paragraph" w:styleId="Tekstprzypisukocowego">
    <w:name w:val="endnote text"/>
    <w:basedOn w:val="Normalny"/>
    <w:link w:val="TekstprzypisukocowegoZnak"/>
    <w:uiPriority w:val="99"/>
    <w:semiHidden/>
    <w:unhideWhenUsed/>
    <w:rsid w:val="00585F5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85F57"/>
    <w:rPr>
      <w:sz w:val="20"/>
      <w:szCs w:val="20"/>
    </w:rPr>
  </w:style>
  <w:style w:type="character" w:styleId="Odwoanieprzypisukocowego">
    <w:name w:val="endnote reference"/>
    <w:basedOn w:val="Domylnaczcionkaakapitu"/>
    <w:uiPriority w:val="99"/>
    <w:semiHidden/>
    <w:unhideWhenUsed/>
    <w:rsid w:val="00585F57"/>
    <w:rPr>
      <w:vertAlign w:val="superscript"/>
    </w:rPr>
  </w:style>
  <w:style w:type="paragraph" w:styleId="Tekstdymka">
    <w:name w:val="Balloon Text"/>
    <w:basedOn w:val="Normalny"/>
    <w:link w:val="TekstdymkaZnak"/>
    <w:uiPriority w:val="99"/>
    <w:semiHidden/>
    <w:unhideWhenUsed/>
    <w:rsid w:val="00C64F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4F42"/>
    <w:rPr>
      <w:rFonts w:ascii="Segoe UI" w:hAnsi="Segoe UI" w:cs="Segoe UI"/>
      <w:sz w:val="18"/>
      <w:szCs w:val="18"/>
    </w:rPr>
  </w:style>
  <w:style w:type="character" w:styleId="Odwoaniedokomentarza">
    <w:name w:val="annotation reference"/>
    <w:basedOn w:val="Domylnaczcionkaakapitu"/>
    <w:uiPriority w:val="99"/>
    <w:semiHidden/>
    <w:unhideWhenUsed/>
    <w:rsid w:val="00C6401E"/>
    <w:rPr>
      <w:sz w:val="16"/>
      <w:szCs w:val="16"/>
    </w:rPr>
  </w:style>
  <w:style w:type="paragraph" w:styleId="Tekstkomentarza">
    <w:name w:val="annotation text"/>
    <w:basedOn w:val="Normalny"/>
    <w:link w:val="TekstkomentarzaZnak"/>
    <w:uiPriority w:val="99"/>
    <w:semiHidden/>
    <w:unhideWhenUsed/>
    <w:rsid w:val="00C6401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6401E"/>
    <w:rPr>
      <w:sz w:val="20"/>
      <w:szCs w:val="20"/>
    </w:rPr>
  </w:style>
  <w:style w:type="paragraph" w:styleId="Tematkomentarza">
    <w:name w:val="annotation subject"/>
    <w:basedOn w:val="Tekstkomentarza"/>
    <w:next w:val="Tekstkomentarza"/>
    <w:link w:val="TematkomentarzaZnak"/>
    <w:uiPriority w:val="99"/>
    <w:semiHidden/>
    <w:unhideWhenUsed/>
    <w:rsid w:val="00C6401E"/>
    <w:rPr>
      <w:b/>
      <w:bCs/>
    </w:rPr>
  </w:style>
  <w:style w:type="character" w:customStyle="1" w:styleId="TematkomentarzaZnak">
    <w:name w:val="Temat komentarza Znak"/>
    <w:basedOn w:val="TekstkomentarzaZnak"/>
    <w:link w:val="Tematkomentarza"/>
    <w:uiPriority w:val="99"/>
    <w:semiHidden/>
    <w:rsid w:val="00C6401E"/>
    <w:rPr>
      <w:b/>
      <w:bCs/>
      <w:sz w:val="20"/>
      <w:szCs w:val="20"/>
    </w:rPr>
  </w:style>
  <w:style w:type="character" w:styleId="Hipercze">
    <w:name w:val="Hyperlink"/>
    <w:basedOn w:val="Domylnaczcionkaakapitu"/>
    <w:uiPriority w:val="99"/>
    <w:semiHidden/>
    <w:unhideWhenUsed/>
    <w:rsid w:val="004C6FE4"/>
    <w:rPr>
      <w:color w:val="0000FF"/>
      <w:u w:val="single"/>
    </w:rPr>
  </w:style>
  <w:style w:type="paragraph" w:styleId="Nagwek">
    <w:name w:val="header"/>
    <w:basedOn w:val="Normalny"/>
    <w:link w:val="NagwekZnak"/>
    <w:uiPriority w:val="99"/>
    <w:unhideWhenUsed/>
    <w:rsid w:val="006351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51C1"/>
  </w:style>
  <w:style w:type="paragraph" w:styleId="Stopka">
    <w:name w:val="footer"/>
    <w:basedOn w:val="Normalny"/>
    <w:link w:val="StopkaZnak"/>
    <w:uiPriority w:val="99"/>
    <w:unhideWhenUsed/>
    <w:rsid w:val="006351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51C1"/>
  </w:style>
  <w:style w:type="table" w:customStyle="1" w:styleId="a">
    <w:basedOn w:val="TableNormal0"/>
    <w:tblPr>
      <w:tblStyleRowBandSize w:val="1"/>
      <w:tblStyleColBandSize w:val="1"/>
      <w:tblCellMar>
        <w:left w:w="10" w:type="dxa"/>
        <w:right w:w="10" w:type="dxa"/>
      </w:tblCellMar>
    </w:tblPr>
  </w:style>
  <w:style w:type="table" w:customStyle="1" w:styleId="a0">
    <w:basedOn w:val="TableNormal0"/>
    <w:tblPr>
      <w:tblStyleRowBandSize w:val="1"/>
      <w:tblStyleColBandSize w:val="1"/>
      <w:tblCellMar>
        <w:top w:w="28" w:type="dxa"/>
        <w:left w:w="70" w:type="dxa"/>
        <w:bottom w:w="28"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j5EGQAPs5XUmXQ7e56yMUK7Q8g==">AMUW2mVqX8TbmOwOa5GpuEJRKnBbyim0LKSULxjJukGT/t1bubJmQ7mDSfexXrjwxf/MFmkHiO0KAb7cYVkyirOMu4/HdfDWnzD7Kp5F/UYG3qQxhkBWsBG18WH8eTVOeXgacDj28wrN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270</Words>
  <Characters>1624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Ropelewski</dc:creator>
  <cp:lastModifiedBy>Dominik Nowak</cp:lastModifiedBy>
  <cp:revision>8</cp:revision>
  <dcterms:created xsi:type="dcterms:W3CDTF">2020-12-10T08:28:00Z</dcterms:created>
  <dcterms:modified xsi:type="dcterms:W3CDTF">2020-12-31T12:46:00Z</dcterms:modified>
</cp:coreProperties>
</file>