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36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w:t>
      </w:r>
      <w:r w:rsidDel="00000000" w:rsidR="00000000" w:rsidRPr="00000000">
        <w:rPr>
          <w:rFonts w:ascii="Times New Roman" w:cs="Times New Roman" w:eastAsia="Times New Roman" w:hAnsi="Times New Roman"/>
          <w:rtl w:val="0"/>
        </w:rPr>
        <w:t xml:space="preserve">28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July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360" w:line="360" w:lineRule="auto"/>
        <w:ind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no. PMR-</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color w:val="000000"/>
          <w:rtl w:val="0"/>
        </w:rPr>
        <w:t xml:space="preserve">_21 of </w:t>
      </w:r>
      <w:r w:rsidDel="00000000" w:rsidR="00000000" w:rsidRPr="00000000">
        <w:rPr>
          <w:rFonts w:ascii="Times New Roman" w:cs="Times New Roman" w:eastAsia="Times New Roman" w:hAnsi="Times New Roman"/>
          <w:b w:val="1"/>
          <w:rtl w:val="0"/>
        </w:rPr>
        <w:t xml:space="preserve">28</w:t>
      </w:r>
      <w:r w:rsidDel="00000000" w:rsidR="00000000" w:rsidRPr="00000000">
        <w:rPr>
          <w:rFonts w:ascii="Times New Roman" w:cs="Times New Roman" w:eastAsia="Times New Roman" w:hAnsi="Times New Roman"/>
          <w:b w:val="1"/>
          <w:color w:val="000000"/>
          <w:vertAlign w:val="superscript"/>
          <w:rtl w:val="0"/>
        </w:rPr>
        <w:t xml:space="preserve">th</w:t>
      </w:r>
      <w:r w:rsidDel="00000000" w:rsidR="00000000" w:rsidRPr="00000000">
        <w:rPr>
          <w:rFonts w:ascii="Times New Roman" w:cs="Times New Roman" w:eastAsia="Times New Roman" w:hAnsi="Times New Roman"/>
          <w:b w:val="1"/>
          <w:rtl w:val="0"/>
        </w:rPr>
        <w:t xml:space="preserve"> July 2021</w:t>
      </w:r>
    </w:p>
    <w:p w:rsidR="00000000" w:rsidDel="00000000" w:rsidP="00000000" w:rsidRDefault="00000000" w:rsidRPr="00000000" w14:paraId="00000003">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delivery of goods needed for comprehensive implementation by VIGO System Spółka Akcyjna with headquarters in Ożarów Mazowiecki, of a project named “Development of high-temperature mid-infrared detectors using plasmonic enhancement (acronym PEMIR)” selected within the framework of 4. Competition of the Poland – Turkey Cooperation Program co-financed by the National Center for Research and Development.</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subject of the order</w:t>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subject of the Order is a supply of goods needed for implementation by the Ordering Party of the project named "</w:t>
      </w:r>
      <w:r w:rsidDel="00000000" w:rsidR="00000000" w:rsidRPr="00000000">
        <w:rPr>
          <w:rFonts w:ascii="Times New Roman" w:cs="Times New Roman" w:eastAsia="Times New Roman" w:hAnsi="Times New Roman"/>
          <w:rtl w:val="0"/>
        </w:rPr>
        <w:t xml:space="preserve">Development of high-temperature mid-infrared detectors using plasmonic enhancement (acronym PEMIR)" selected within the framework of 4. Competition of the Poland – Turkey Cooperation Program co-financed by the National Center for Research and Development – number of the contract: POLTUR4/PEMIR/2/2021</w:t>
      </w:r>
      <w:r w:rsidDel="00000000" w:rsidR="00000000" w:rsidRPr="00000000">
        <w:rPr>
          <w:rtl w:val="0"/>
        </w:rPr>
      </w:r>
    </w:p>
    <w:p w:rsidR="00000000" w:rsidDel="00000000" w:rsidP="00000000" w:rsidRDefault="00000000" w:rsidRPr="00000000" w14:paraId="0000000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a supply of: </w:t>
      </w:r>
    </w:p>
    <w:p w:rsidR="00000000" w:rsidDel="00000000" w:rsidP="00000000" w:rsidRDefault="00000000" w:rsidRPr="00000000" w14:paraId="00000009">
      <w:pPr>
        <w:numPr>
          <w:ilvl w:val="0"/>
          <w:numId w:val="17"/>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Thermoelectric cooler 1TE  – 300 pcs.,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whose detailed description is included in the enclosure no. 1 to the Request for Proposals.</w:t>
      </w:r>
      <w:r w:rsidDel="00000000" w:rsidR="00000000" w:rsidRPr="00000000">
        <w:rPr>
          <w:rtl w:val="0"/>
        </w:rPr>
      </w:r>
    </w:p>
    <w:p w:rsidR="00000000" w:rsidDel="00000000" w:rsidP="00000000" w:rsidRDefault="00000000" w:rsidRPr="00000000" w14:paraId="0000000B">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C">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not accept variant offers.</w:t>
      </w:r>
      <w:r w:rsidDel="00000000" w:rsidR="00000000" w:rsidRPr="00000000">
        <w:rPr>
          <w:rtl w:val="0"/>
        </w:rPr>
      </w:r>
    </w:p>
    <w:p w:rsidR="00000000" w:rsidDel="00000000" w:rsidP="00000000" w:rsidRDefault="00000000" w:rsidRPr="00000000" w14:paraId="0000000D">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The Ordering Party shall not accept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E">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 of performance: 8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rsidR="00000000" w:rsidDel="00000000" w:rsidP="00000000" w:rsidRDefault="00000000" w:rsidRPr="00000000" w14:paraId="00000010">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bookmarkStart w:colFirst="0" w:colLast="0" w:name="_heading=h.3znysh7" w:id="3"/>
      <w:bookmarkEnd w:id="3"/>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1">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 </w:t>
      </w:r>
      <w:r w:rsidDel="00000000" w:rsidR="00000000" w:rsidRPr="00000000">
        <w:rPr>
          <w:rFonts w:ascii="Times New Roman" w:cs="Times New Roman" w:eastAsia="Times New Roman" w:hAnsi="Times New Roman"/>
          <w:b w:val="1"/>
          <w:color w:val="000000"/>
          <w:rtl w:val="0"/>
        </w:rPr>
        <w:t xml:space="preserve">proposal form</w:t>
      </w:r>
      <w:r w:rsidDel="00000000" w:rsidR="00000000" w:rsidRPr="00000000">
        <w:rPr>
          <w:rFonts w:ascii="Times New Roman" w:cs="Times New Roman" w:eastAsia="Times New Roman" w:hAnsi="Times New Roman"/>
          <w:color w:val="000000"/>
          <w:rtl w:val="0"/>
        </w:rPr>
        <w:t xml:space="preserve">, prepared in accordance with </w:t>
      </w:r>
      <w:r w:rsidDel="00000000" w:rsidR="00000000" w:rsidRPr="00000000">
        <w:rPr>
          <w:rFonts w:ascii="Times New Roman" w:cs="Times New Roman" w:eastAsia="Times New Roman" w:hAnsi="Times New Roman"/>
          <w:b w:val="1"/>
          <w:color w:val="000000"/>
          <w:rtl w:val="0"/>
        </w:rPr>
        <w:t xml:space="preserve">Annex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Request for Proposals.</w:t>
      </w:r>
    </w:p>
    <w:p w:rsidR="00000000" w:rsidDel="00000000" w:rsidP="00000000" w:rsidRDefault="00000000" w:rsidRPr="00000000" w14:paraId="00000012">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such case: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4">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affiliated if the Contractor is: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 applying for the award of the contract to submit, along with the offer and statements (prepared in accordance with </w:t>
      </w:r>
      <w:r w:rsidDel="00000000" w:rsidR="00000000" w:rsidRPr="00000000">
        <w:rPr>
          <w:rFonts w:ascii="Times New Roman" w:cs="Times New Roman" w:eastAsia="Times New Roman" w:hAnsi="Times New Roman"/>
          <w:b w:val="1"/>
          <w:color w:val="000000"/>
          <w:rtl w:val="0"/>
        </w:rPr>
        <w:t xml:space="preserve">Annex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 proposal </w:t>
      </w:r>
      <w:r w:rsidDel="00000000" w:rsidR="00000000" w:rsidRPr="00000000">
        <w:rPr>
          <w:rFonts w:ascii="Times New Roman" w:cs="Times New Roman" w:eastAsia="Times New Roman" w:hAnsi="Times New Roman"/>
          <w:color w:val="000000"/>
          <w:rtl w:val="0"/>
        </w:rPr>
        <w:t xml:space="preserve">form), </w:t>
      </w:r>
      <w:r w:rsidDel="00000000" w:rsidR="00000000" w:rsidRPr="00000000">
        <w:rPr>
          <w:rFonts w:ascii="Times New Roman" w:cs="Times New Roman" w:eastAsia="Times New Roman" w:hAnsi="Times New Roman"/>
          <w:b w:val="1"/>
          <w:color w:val="000000"/>
          <w:u w:val="single"/>
          <w:rtl w:val="0"/>
        </w:rPr>
        <w:t xml:space="preserve">a document issued not earlier than 3 months before the deadline for submitting bids – coming from the register authority competent for the Contractor, indicating persons authorized to represent the Contractor;</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a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rtl w:val="0"/>
        </w:rPr>
        <w:t xml:space="preserve">The offer in the form of a scan might be sent to an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w:t>
      </w:r>
      <w:r w:rsidDel="00000000" w:rsidR="00000000" w:rsidRPr="00000000">
        <w:rPr>
          <w:rFonts w:ascii="Times New Roman" w:cs="Times New Roman" w:eastAsia="Times New Roman" w:hAnsi="Times New Roman"/>
          <w:color w:val="000000"/>
          <w:u w:val="single"/>
          <w:rtl w:val="0"/>
        </w:rPr>
        <w:t xml:space="preserve">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120" w:line="360" w:lineRule="auto"/>
        <w:ind w:left="360" w:hanging="360"/>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The offer, power of attorney and description of the offer should be submitted in Polish or English in accordance with Annex 2, an excerpt from the register is allowed in one of the European official languages; Power of attorney should be submitted on the form attached to the Request for Proposals – Annex 3. If the company’s registration documents are submitted in a language other than one of the official European languages, the Ordering Party requires the Contractor to submit the original along with translation into one of abovementioned languages.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avoidance of the doubt, the Ordering Party allows any documents to be signed in accordance with the Request for Proposals in electronic form with a secure electronic signature confirmed with a valid qualified certificate.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2">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 – 1</w:t>
      </w:r>
      <w:r w:rsidDel="00000000" w:rsidR="00000000" w:rsidRPr="00000000">
        <w:rPr>
          <w:rFonts w:ascii="Times New Roman" w:cs="Times New Roman" w:eastAsia="Times New Roman" w:hAnsi="Times New Roman"/>
          <w:color w:val="000000"/>
          <w:rtl w:val="0"/>
        </w:rPr>
        <w:t xml:space="preserve">00 points (100%);</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impossible to select the most advantageous offer due to the fact that two or more offers present the same balance of price, the Ordering Party will summon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shall be submitted by: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shall be bound by the submitted offer for a period of at least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0 days. The offer validity period begins with the submission deadline.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2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total cost of the subject of the contract.</w:t>
      </w:r>
    </w:p>
    <w:p w:rsidR="00000000" w:rsidDel="00000000" w:rsidP="00000000" w:rsidRDefault="00000000" w:rsidRPr="00000000" w14:paraId="00000031">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EURO, for a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on the territory of the Republic of Poland is the net price, expressed in PLN or EURO (except tax on goods and services in force in Poland), including all costs related to the performance of the contract, all fees, taxes (except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Proposal form is attached as Annex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to this request for proposals. The Ordering Party requires submission of an offer for the implementation of the Order using proposal form. The offer should contain the following attachments: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excerpt from the Contractor's KRS / excerpt from the Contractor's CEIDG / other registration document issued not earlier than 3 months before the deadline for submitting bids – excerpt coming from the registration authority indicating persons authorized to represent the Contractor; power of attorney if the offer is submitted by a proxy; description of submitted bid.</w:t>
      </w:r>
    </w:p>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bookmarkStart w:colFirst="0" w:colLast="0" w:name="_heading=h.3dy6vkm" w:id="5"/>
      <w:bookmarkEnd w:id="5"/>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39">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3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Ordering Party may: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a. require the contractor to provide explanations regarding the content of the offer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0">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a contractor who does not meet the conditions for participation in the procurement procedure. </w:t>
      </w:r>
    </w:p>
    <w:p w:rsidR="00000000" w:rsidDel="00000000" w:rsidP="00000000" w:rsidRDefault="00000000" w:rsidRPr="00000000" w14:paraId="00000041">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rejects the Contractor's bid if:</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proposals;</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submitted more than one offer. </w:t>
      </w:r>
    </w:p>
    <w:p w:rsidR="00000000" w:rsidDel="00000000" w:rsidP="00000000" w:rsidRDefault="00000000" w:rsidRPr="00000000" w14:paraId="00000046">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47">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will assess only those offers which will reach the Ordering Party in the period from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part of the Ordering Party are: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Andrzej Janaszek, e- mail: </w:t>
      </w:r>
      <w:hyperlink r:id="rId8">
        <w:r w:rsidDel="00000000" w:rsidR="00000000" w:rsidRPr="00000000">
          <w:rPr>
            <w:rFonts w:ascii="Times New Roman" w:cs="Times New Roman" w:eastAsia="Times New Roman" w:hAnsi="Times New Roman"/>
            <w:color w:val="0000ff"/>
            <w:u w:val="single"/>
            <w:rtl w:val="0"/>
          </w:rPr>
          <w:t xml:space="preserve">ajanaszek@vigo.com.pl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4D">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4E">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Ordering Party shall notify the contractors about selection of the best offer or potentially about closing of the procurement procedure without selecting any offer. The notification will be made in a manner provided for publication of this request for proposals,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in the request for proposals to the seat of the Ordering Party.</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goods must comply with the specification contained in Annex 1 the request for proposals.</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an e-mail address: invoices@vigo.com.pl after the positive receipt of the goods. Payment will be made within 30 days of the invoice being delivered.</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delay in payment occurred by the fault of the Ordering Party, he shall pay the Contractor on a written request a contractual penalty of 0.1% of the net order value for each day of delay - no more than 5%.</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Employer </w:t>
      </w:r>
      <w:r w:rsidDel="00000000" w:rsidR="00000000" w:rsidRPr="00000000">
        <w:rPr>
          <w:rFonts w:ascii="Times New Roman" w:cs="Times New Roman" w:eastAsia="Times New Roman" w:hAnsi="Times New Roman"/>
          <w:rtl w:val="0"/>
        </w:rPr>
        <w:t xml:space="preserve">on a written request</w:t>
      </w:r>
      <w:r w:rsidDel="00000000" w:rsidR="00000000" w:rsidRPr="00000000">
        <w:rPr>
          <w:rFonts w:ascii="Times New Roman" w:cs="Times New Roman" w:eastAsia="Times New Roman" w:hAnsi="Times New Roman"/>
          <w:color w:val="000000"/>
          <w:rtl w:val="0"/>
        </w:rPr>
        <w:t xml:space="preserve"> a contractual penalty of 0.1% of the net order value for each day of delay - no more than 5%.</w:t>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Ordering Party </w:t>
      </w:r>
      <w:r w:rsidDel="00000000" w:rsidR="00000000" w:rsidRPr="00000000">
        <w:rPr>
          <w:rFonts w:ascii="Times New Roman" w:cs="Times New Roman" w:eastAsia="Times New Roman" w:hAnsi="Times New Roman"/>
          <w:rtl w:val="0"/>
        </w:rPr>
        <w:t xml:space="preserve">chooses</w:t>
      </w:r>
      <w:r w:rsidDel="00000000" w:rsidR="00000000" w:rsidRPr="00000000">
        <w:rPr>
          <w:rFonts w:ascii="Times New Roman" w:cs="Times New Roman" w:eastAsia="Times New Roman" w:hAnsi="Times New Roman"/>
          <w:color w:val="000000"/>
          <w:rtl w:val="0"/>
        </w:rPr>
        <w:t xml:space="preserve"> the best offer from among the remaining offers.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1t3h5sf" w:id="6"/>
      <w:bookmarkEnd w:id="6"/>
      <w:r w:rsidDel="00000000" w:rsidR="00000000" w:rsidRPr="00000000">
        <w:rPr>
          <w:rFonts w:ascii="Times New Roman" w:cs="Times New Roman" w:eastAsia="Times New Roman" w:hAnsi="Times New Roman"/>
          <w:b w:val="1"/>
          <w:color w:val="000000"/>
          <w:highlight w:val="lightGray"/>
          <w:rtl w:val="0"/>
        </w:rPr>
        <w:t xml:space="preserve">14</w:t>
      </w:r>
      <w:r w:rsidDel="00000000" w:rsidR="00000000" w:rsidRPr="00000000">
        <w:rPr>
          <w:rFonts w:ascii="Times New Roman" w:cs="Times New Roman" w:eastAsia="Times New Roman" w:hAnsi="Times New Roman"/>
          <w:color w:val="000000"/>
          <w:highlight w:val="lightGray"/>
          <w:rtl w:val="0"/>
        </w:rPr>
        <w:t xml:space="preserve">. </w:t>
      </w:r>
      <w:r w:rsidDel="00000000" w:rsidR="00000000" w:rsidRPr="00000000">
        <w:rPr>
          <w:rFonts w:ascii="Times New Roman" w:cs="Times New Roman" w:eastAsia="Times New Roman" w:hAnsi="Times New Roman"/>
          <w:b w:val="1"/>
          <w:color w:val="000000"/>
          <w:highlight w:val="lightGray"/>
          <w:rtl w:val="0"/>
        </w:rPr>
        <w:t xml:space="preserve">GDPR clause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administrator of your personal data is VIGO System S.A. based in Ożarów Mazowiecki;</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Mrs. Sylwia Wiśniewska-Fillipiak is the inspector of personal data protection; email address: ado@vigo.com.pl;</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bookmarkStart w:colFirst="0" w:colLast="0" w:name="_heading=h.4d34og8" w:id="7"/>
      <w:bookmarkEnd w:id="7"/>
      <w:r w:rsidDel="00000000" w:rsidR="00000000" w:rsidRPr="00000000">
        <w:rPr>
          <w:rFonts w:ascii="Times New Roman" w:cs="Times New Roman" w:eastAsia="Times New Roman" w:hAnsi="Times New Roman"/>
          <w:color w:val="000000"/>
          <w:rtl w:val="0"/>
        </w:rPr>
        <w:t xml:space="preserve">a) the recipients of your personal data will be persons or entities to whom the documentation of the proceedings will be made available pursuant to §10 of the Agreement on project financing, hereinafter referred to as the "Agreement";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in relation to your personal data, decisions will not be made in an automated manner, in accordance with art. 22 GDPR;</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you have: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15 GDPR, the right to access your personal data;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16 GDPR, the right to rectify your personal data;</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you are not entitled to:</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in connection with Art. 17 sec. 3 lit. b, d or e GDPR, the right to delete personal data;</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transfer personal data referred to in art. 20 GDPR;</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360" w:lineRule="auto"/>
        <w:ind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6A">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6B">
      <w:pPr>
        <w:numPr>
          <w:ilvl w:val="0"/>
          <w:numId w:val="1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w:t>
      </w:r>
      <w:r w:rsidDel="00000000" w:rsidR="00000000" w:rsidRPr="00000000">
        <w:rPr>
          <w:rFonts w:ascii="Times New Roman" w:cs="Times New Roman" w:eastAsia="Times New Roman" w:hAnsi="Times New Roman"/>
          <w:rtl w:val="0"/>
        </w:rPr>
        <w:t xml:space="preserve"> proposals</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Annex 1 – description of the subject of the contract;</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Annex 2 – </w:t>
      </w:r>
      <w:r w:rsidDel="00000000" w:rsidR="00000000" w:rsidRPr="00000000">
        <w:rPr>
          <w:rFonts w:ascii="Times New Roman" w:cs="Times New Roman" w:eastAsia="Times New Roman" w:hAnsi="Times New Roman"/>
          <w:rtl w:val="0"/>
        </w:rPr>
        <w:t xml:space="preserve">proposal form;</w:t>
        <w:br w:type="textWrapping"/>
        <w:t xml:space="preserve">Annex 3 – template of the power of attorney.</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8"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7"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3">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F44638"/>
    <w:rPr>
      <w:color w:val="0000ff" w:themeColor="hyperlink"/>
      <w:u w:val="single"/>
    </w:rPr>
  </w:style>
  <w:style w:type="character" w:styleId="Nierozpoznanawzmianka">
    <w:name w:val="Unresolved Mention"/>
    <w:basedOn w:val="Domylnaczcionkaakapitu"/>
    <w:uiPriority w:val="99"/>
    <w:semiHidden w:val="1"/>
    <w:unhideWhenUsed w:val="1"/>
    <w:rsid w:val="00F44638"/>
    <w:rPr>
      <w:color w:val="605e5c"/>
      <w:shd w:color="auto" w:fill="e1dfdd" w:val="clear"/>
    </w:rPr>
  </w:style>
  <w:style w:type="table" w:styleId="a3" w:customStyle="1">
    <w:basedOn w:val="TableNormal0"/>
    <w:tblPr>
      <w:tblStyleRowBandSize w:val="1"/>
      <w:tblStyleColBandSize w:val="1"/>
      <w:tblCellMar>
        <w:left w:w="70.0" w:type="dxa"/>
        <w:right w:w="70.0" w:type="dxa"/>
      </w:tblCellMar>
    </w:tblPr>
  </w:style>
  <w:style w:type="paragraph" w:styleId="Akapitzlist">
    <w:name w:val="List Paragraph"/>
    <w:basedOn w:val="Normalny"/>
    <w:uiPriority w:val="34"/>
    <w:qFormat w:val="1"/>
    <w:rsid w:val="008B0C1D"/>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ajanaszek@vigo.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IzqfhOQ6q2RxIdU0G9UlsKVyw==">AMUW2mXAoXQBgReeBL4KLuY9OuC7QvtswusJ+cKlDPf+kF4q+h/nCdxFglnSwMXZwm/hSDbW8TMCtVc7n5qqOyK7SdolbW5XL5o/64+KEjevyX6Pvje7qFjcy16OMCItNwolw7y9XA8CSodOrNR/z7tT159pcg+EJlfCvVHToQ+yXwjQQkNHgzjL2vSFm7RI45W1Typ7bVEneHwmHKJBrrX987x6El4mp3B8rn+dWvfZcXkverTLksw=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2021-04-23T13:37:00Z</dcterms:created>
  <dc:creator>Dominik Nowak</dc:creator>
</cp:coreProperties>
</file>