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5808"/>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ind w:right="5808"/>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inquiry of August 3, 2021 NUMBER SDM-WG/36 (hereinafter: "Inquiry"),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color w:val="000000"/>
        </w:rPr>
      </w:pPr>
      <w:bookmarkStart w:colFirst="0" w:colLast="0" w:name="_heading=h.gjdgxs" w:id="0"/>
      <w:bookmarkEnd w:id="0"/>
      <w:r w:rsidDel="00000000" w:rsidR="00000000" w:rsidRPr="00000000">
        <w:rPr>
          <w:color w:val="000000"/>
          <w:rtl w:val="0"/>
        </w:rPr>
        <w:t xml:space="preserve">To  submitting an offer and represent ………………………………………… .. [•] in the procurement procedure: Inquiry no. of </w:t>
      </w:r>
      <w:r w:rsidDel="00000000" w:rsidR="00000000" w:rsidRPr="00000000">
        <w:rPr>
          <w:rtl w:val="0"/>
        </w:rPr>
        <w:t xml:space="preserve">August 3, 2021</w:t>
      </w:r>
      <w:r w:rsidDel="00000000" w:rsidR="00000000" w:rsidRPr="00000000">
        <w:rPr>
          <w:color w:val="000000"/>
          <w:rtl w:val="0"/>
        </w:rPr>
        <w:t xml:space="preserve">, NUMBER SDM-WG/</w:t>
      </w:r>
      <w:r w:rsidDel="00000000" w:rsidR="00000000" w:rsidRPr="00000000">
        <w:rPr>
          <w:rtl w:val="0"/>
        </w:rPr>
        <w:t xml:space="preserve">36</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-485133</wp:posOffset>
          </wp:positionH>
          <wp:positionV relativeFrom="paragraph">
            <wp:posOffset>-76193</wp:posOffset>
          </wp:positionV>
          <wp:extent cx="6472555" cy="765175"/>
          <wp:effectExtent b="0" l="0" r="0" t="0"/>
          <wp:wrapTopAndBottom distB="0" dist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0TEVaECevZV5axm8KoQviR60A==">AMUW2mVQIRLwdLag5DQh82WTWOU9cM0T1e6h8XFvprk9aSKCfZ+XP4bcbM1RJT02yLEaoNA/KGw6EwC2qmVkplxu1ZefjC3GjaSIlVxZ5FjBXmbm+wbOwmpSpznntygi/l6egR6zF/aO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2021-07-30T13:09:00Z</dcterms:created>
  <dc:creator>Jakub Pietrasik</dc:creator>
</cp:coreProperties>
</file>