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Att. </w:t>
      </w:r>
      <w:r w:rsidDel="00000000" w:rsidR="00000000" w:rsidRPr="00000000">
        <w:rPr>
          <w:sz w:val="22"/>
          <w:szCs w:val="22"/>
          <w:rtl w:val="0"/>
        </w:rPr>
        <w:t xml:space="preserve">2</w:t>
      </w:r>
      <w:r w:rsidDel="00000000" w:rsidR="00000000" w:rsidRPr="00000000">
        <w:rPr>
          <w:color w:val="000000"/>
          <w:sz w:val="22"/>
          <w:szCs w:val="2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date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sz w:val="22"/>
                <w:szCs w:val="22"/>
                <w:u w:val="single"/>
              </w:rPr>
            </w:pPr>
            <w:r w:rsidDel="00000000" w:rsidR="00000000" w:rsidRPr="00000000">
              <w:rPr>
                <w:color w:val="000000"/>
                <w:sz w:val="22"/>
                <w:szCs w:val="22"/>
                <w:u w:val="single"/>
                <w:rtl w:val="0"/>
              </w:rPr>
              <w:t xml:space="preserve">[Name / address / KRS (register</w:t>
            </w:r>
            <w:r w:rsidDel="00000000" w:rsidR="00000000" w:rsidRPr="00000000">
              <w:rPr>
                <w:sz w:val="22"/>
                <w:szCs w:val="22"/>
                <w:u w:val="single"/>
                <w:rtl w:val="0"/>
              </w:rPr>
              <w:t xml:space="preserve">)</w:t>
            </w:r>
            <w:r w:rsidDel="00000000" w:rsidR="00000000" w:rsidRPr="00000000">
              <w:rPr>
                <w:color w:val="000000"/>
                <w:sz w:val="22"/>
                <w:szCs w:val="22"/>
                <w:u w:val="single"/>
                <w:rtl w:val="0"/>
              </w:rPr>
              <w:t xml:space="preserve"> number / NIP (tax numb</w:t>
            </w:r>
            <w:r w:rsidDel="00000000" w:rsidR="00000000" w:rsidRPr="00000000">
              <w:rPr>
                <w:sz w:val="22"/>
                <w:szCs w:val="22"/>
                <w:u w:val="single"/>
                <w:rtl w:val="0"/>
              </w:rPr>
              <w:t xml:space="preserve">er)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PROPOSAL FORM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the Request for Proposals of </w:t>
      </w:r>
      <w:r w:rsidDel="00000000" w:rsidR="00000000" w:rsidRPr="00000000">
        <w:rPr>
          <w:b w:val="1"/>
          <w:sz w:val="28"/>
          <w:szCs w:val="28"/>
          <w:rtl w:val="0"/>
        </w:rPr>
        <w:t xml:space="preserve">21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June</w:t>
      </w:r>
      <w:r w:rsidDel="00000000" w:rsidR="00000000" w:rsidRPr="00000000">
        <w:rPr>
          <w:b w:val="1"/>
          <w:color w:val="000000"/>
          <w:sz w:val="28"/>
          <w:szCs w:val="28"/>
          <w:rtl w:val="0"/>
        </w:rPr>
        <w:t xml:space="preserve"> 2021 No. </w:t>
      </w:r>
      <w:r w:rsidDel="00000000" w:rsidR="00000000" w:rsidRPr="00000000">
        <w:rPr>
          <w:b w:val="1"/>
          <w:sz w:val="28"/>
          <w:szCs w:val="28"/>
          <w:rtl w:val="0"/>
        </w:rPr>
        <w:t xml:space="preserve">MRN-WS/5</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0" w:hanging="2"/>
        <w:jc w:val="both"/>
        <w:rPr>
          <w:color w:val="000000"/>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Proposals of </w:t>
      </w:r>
      <w:r w:rsidDel="00000000" w:rsidR="00000000" w:rsidRPr="00000000">
        <w:rPr>
          <w:rtl w:val="0"/>
        </w:rPr>
        <w:t xml:space="preserve">21</w:t>
      </w:r>
      <w:r w:rsidDel="00000000" w:rsidR="00000000" w:rsidRPr="00000000">
        <w:rPr>
          <w:vertAlign w:val="superscript"/>
          <w:rtl w:val="0"/>
        </w:rPr>
        <w:t xml:space="preserve">th</w:t>
      </w:r>
      <w:r w:rsidDel="00000000" w:rsidR="00000000" w:rsidRPr="00000000">
        <w:rPr>
          <w:rtl w:val="0"/>
        </w:rPr>
        <w:t xml:space="preserve"> June 2021</w:t>
        <w:br w:type="textWrapping"/>
        <w:t xml:space="preserve">No. MRN-WS/5</w:t>
      </w:r>
      <w:r w:rsidDel="00000000" w:rsidR="00000000" w:rsidRPr="00000000">
        <w:rPr>
          <w:color w:val="000000"/>
          <w:rtl w:val="0"/>
        </w:rPr>
        <w:t xml:space="preserve">  (hereinafter: "Request for Proposals"), hereby I submit an offer for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0" w:hanging="2"/>
        <w:jc w:val="both"/>
        <w:rPr/>
      </w:pPr>
      <w:r w:rsidDel="00000000" w:rsidR="00000000" w:rsidRPr="00000000">
        <w:rPr>
          <w:rtl w:val="0"/>
        </w:rPr>
        <w:t xml:space="preserve">- Trimethylgallium (TMGa OEG) – 1000g;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pPr>
      <w:r w:rsidDel="00000000" w:rsidR="00000000" w:rsidRPr="00000000">
        <w:rPr>
          <w:rtl w:val="0"/>
        </w:rPr>
        <w:t xml:space="preserve">- bubblers’ connector – 2 pcs.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rtl w:val="0"/>
        </w:rPr>
        <w:t xml:space="preserve">(hereinafter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New transparent electrodes for VCSEL lasers" in the competition: "M-era-Net" acronym of the project TRAVEL co-financed by the National Center for Research and Development.</w:t>
      </w:r>
      <w:r w:rsidDel="00000000" w:rsidR="00000000" w:rsidRPr="00000000">
        <w:rPr>
          <w:sz w:val="22"/>
          <w:szCs w:val="22"/>
          <w:rtl w:val="0"/>
        </w:rPr>
        <w:tab/>
      </w:r>
      <w:r w:rsidDel="00000000" w:rsidR="00000000" w:rsidRPr="00000000">
        <w:br w:type="page"/>
      </w:r>
      <w:r w:rsidDel="00000000" w:rsidR="00000000" w:rsidRPr="00000000">
        <w:rPr>
          <w:rtl w:val="0"/>
        </w:rPr>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Amount  of VAT: …………………… [•] in words: ……………………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u w:val="single"/>
        </w:rPr>
      </w:pPr>
      <w:bookmarkStart w:colFirst="0" w:colLast="0" w:name="_heading=h.gjdgxs" w:id="1"/>
      <w:bookmarkEnd w:id="1"/>
      <w:r w:rsidDel="00000000" w:rsidR="00000000" w:rsidRPr="00000000">
        <w:rPr>
          <w:b w:val="1"/>
          <w:color w:val="000000"/>
          <w:sz w:val="22"/>
          <w:szCs w:val="22"/>
          <w:u w:val="single"/>
          <w:rtl w:val="0"/>
        </w:rPr>
        <w:t xml:space="preserve">The description of the offer constitutes an attachment to the offer.</w:t>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shall be 30 days from the deadline for submitting offers specified in the Request for Proposals.</w:t>
      </w:r>
    </w:p>
    <w:p w:rsidR="00000000" w:rsidDel="00000000" w:rsidP="00000000" w:rsidRDefault="00000000" w:rsidRPr="00000000" w14:paraId="00000016">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17">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Request for Proposals, and does not raise any objections to it and has all the information necessary to prepare this offer and perform the Order.</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 he: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w:t>
        <w:tab/>
        <w:t xml:space="preserve">has the authority to perform specific activities or activities, if the law imposes an obligation to have them;</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w:t>
        <w:tab/>
        <w:t xml:space="preserve">has the necessary knowledge, experience and technical and human potential to perform the Order;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w:t>
        <w:tab/>
        <w:t xml:space="preserve">is in an economic and financial situation ensuring the performance of the Order;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w:t>
        <w:tab/>
        <w:t xml:space="preserve">is not in arrears with taxes, fees and social security contributions.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Request for Proposals.</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Request for Proposals, in accordance with the requirements of the Request for Proposals, applicable regulations and due diligence.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he will deliver the product within the time limit specified in the Request for Proposals,</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is not an entity related to the Ordering Party, liable to exclusion from the the procedure of order awarding, in accordance with point 5 of the Request for Proposals.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bookmarkStart w:colFirst="0" w:colLast="0" w:name="_heading=h.1fob9te" w:id="2"/>
      <w:bookmarkEnd w:id="2"/>
      <w:r w:rsidDel="00000000" w:rsidR="00000000" w:rsidRPr="00000000">
        <w:rPr>
          <w:b w:val="1"/>
          <w:color w:val="000000"/>
          <w:sz w:val="20"/>
          <w:szCs w:val="20"/>
          <w:rtl w:val="0"/>
        </w:rPr>
        <w:t xml:space="preserve">Excerpt from Contractor's National Court Register / excerpt from Contractor's CEIDG / other registration document or other document issued by the authority competent for the Contractor, indicating persons entitled to represent the Contractor;</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-281454</wp:posOffset>
          </wp:positionH>
          <wp:positionV relativeFrom="paragraph">
            <wp:posOffset>-180969</wp:posOffset>
          </wp:positionV>
          <wp:extent cx="5964925" cy="704850"/>
          <wp:effectExtent b="0" l="0" r="0" t="0"/>
          <wp:wrapTopAndBottom distB="0" distT="0"/>
          <wp:docPr id="10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4.0" w:type="dxa"/>
        <w:left w:w="144.0" w:type="dxa"/>
        <w:bottom w:w="14.0" w:type="dxa"/>
        <w:right w:w="144.0" w:type="dxa"/>
      </w:tblCellMar>
    </w:tblPr>
  </w:style>
  <w:style w:type="table" w:styleId="a0" w:customStyle="1">
    <w:basedOn w:val="TableNormal3"/>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3"/>
    <w:tblPr>
      <w:tblStyleRowBandSize w:val="1"/>
      <w:tblStyleColBandSize w:val="1"/>
      <w:tblCellMar>
        <w:top w:w="14.0" w:type="dxa"/>
        <w:left w:w="108.0" w:type="dxa"/>
        <w:bottom w:w="14.0" w:type="dxa"/>
        <w:right w:w="108.0" w:type="dxa"/>
      </w:tblCellMar>
    </w:tblPr>
  </w:style>
  <w:style w:type="table" w:styleId="a2" w:customStyle="1">
    <w:basedOn w:val="TableNormal3"/>
    <w:tblPr>
      <w:tblStyleRowBandSize w:val="1"/>
      <w:tblStyleColBandSize w:val="1"/>
      <w:tblCellMar>
        <w:top w:w="14.0" w:type="dxa"/>
        <w:left w:w="108.0" w:type="dxa"/>
        <w:bottom w:w="14.0" w:type="dxa"/>
        <w:right w:w="108.0" w:type="dxa"/>
      </w:tblCellMar>
    </w:tblPr>
  </w:style>
  <w:style w:type="table" w:styleId="a3" w:customStyle="1">
    <w:basedOn w:val="TableNormal3"/>
    <w:tblPr>
      <w:tblStyleRowBandSize w:val="1"/>
      <w:tblStyleColBandSize w:val="1"/>
      <w:tblCellMar>
        <w:top w:w="15.0" w:type="dxa"/>
        <w:left w:w="15.0" w:type="dxa"/>
        <w:bottom w:w="15.0" w:type="dxa"/>
        <w:right w:w="15.0" w:type="dxa"/>
      </w:tblCellMar>
    </w:tblPr>
  </w:style>
  <w:style w:type="table" w:styleId="a4" w:customStyle="1">
    <w:basedOn w:val="TableNormal3"/>
    <w:tblPr>
      <w:tblStyleRowBandSize w:val="1"/>
      <w:tblStyleColBandSize w:val="1"/>
      <w:tblCellMar>
        <w:top w:w="15.0" w:type="dxa"/>
        <w:left w:w="15.0" w:type="dxa"/>
        <w:bottom w:w="15.0" w:type="dxa"/>
        <w:right w:w="15.0" w:type="dxa"/>
      </w:tblCellMar>
    </w:tblPr>
  </w:style>
  <w:style w:type="table" w:styleId="a5" w:customStyle="1">
    <w:basedOn w:val="TableNormal3"/>
    <w:tblPr>
      <w:tblStyleRowBandSize w:val="1"/>
      <w:tblStyleColBandSize w:val="1"/>
      <w:tblCellMar>
        <w:top w:w="15.0" w:type="dxa"/>
        <w:left w:w="15.0" w:type="dxa"/>
        <w:bottom w:w="15.0" w:type="dxa"/>
        <w:right w:w="15.0" w:type="dxa"/>
      </w:tblCellMar>
    </w:tblPr>
  </w:style>
  <w:style w:type="table" w:styleId="a6" w:customStyle="1">
    <w:basedOn w:val="TableNormal3"/>
    <w:tblPr>
      <w:tblStyleRowBandSize w:val="1"/>
      <w:tblStyleColBandSize w:val="1"/>
      <w:tblCellMar>
        <w:top w:w="28.0" w:type="dxa"/>
        <w:left w:w="70.0" w:type="dxa"/>
        <w:bottom w:w="28.0" w:type="dxa"/>
        <w:right w:w="70.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table" w:styleId="a8" w:customStyle="1">
    <w:basedOn w:val="TableNormal1"/>
    <w:tblPr>
      <w:tblStyleRowBandSize w:val="1"/>
      <w:tblStyleColBandSize w:val="1"/>
      <w:tblCellMar>
        <w:top w:w="28.0" w:type="dxa"/>
        <w:left w:w="70.0" w:type="dxa"/>
        <w:bottom w:w="28.0" w:type="dxa"/>
        <w:right w:w="70.0" w:type="dxa"/>
      </w:tblCellMar>
    </w:tblPr>
  </w:style>
  <w:style w:type="table" w:styleId="a9" w:customStyle="1">
    <w:basedOn w:val="TableNormal1"/>
    <w:tblPr>
      <w:tblStyleRowBandSize w:val="1"/>
      <w:tblStyleColBandSize w:val="1"/>
      <w:tblCellMar>
        <w:top w:w="28.0" w:type="dxa"/>
        <w:left w:w="70.0" w:type="dxa"/>
        <w:bottom w:w="28.0" w:type="dxa"/>
        <w:right w:w="70.0" w:type="dxa"/>
      </w:tblCellMar>
    </w:tblPr>
  </w:style>
  <w:style w:type="table" w:styleId="aa"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bqtENv6yLGLB+h4jY2g+GgFow==">AMUW2mWKqlKbgCZFYca6N3e+V6iCni+yXgx9W8aNyixo7rHW3qoezHHwMaUmxKmDj3LLcDMHaYbt3DgQVjna+ExJg8LTBytiDSm2iDPd1pRKJXf/wjJuRzN3z/qkrRIpxKAD2ZMYxuiWa5HwN/NPwLKgUdd4WduTLg==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2021-06-16T16:01:00Z</dcterms:created>
  <dc:creator>Jakub Pietrasik</dc:creator>
</cp:coreProperties>
</file>