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w:t>
      </w:r>
      <w:r w:rsidR="00C2108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2</w:t>
      </w:r>
    </w:p>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4194" w:type="dxa"/>
        <w:tblInd w:w="0" w:type="dxa"/>
        <w:tblLayout w:type="fixed"/>
        <w:tblLook w:val="0000" w:firstRow="0" w:lastRow="0" w:firstColumn="0" w:lastColumn="0" w:noHBand="0" w:noVBand="0"/>
      </w:tblPr>
      <w:tblGrid>
        <w:gridCol w:w="4194"/>
      </w:tblGrid>
      <w:tr w:rsidR="009F5A3D" w:rsidRPr="009D3A20">
        <w:trPr>
          <w:trHeight w:val="2823"/>
        </w:trPr>
        <w:tc>
          <w:tcPr>
            <w:tcW w:w="4194" w:type="dxa"/>
          </w:tcPr>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AE3EAD">
              <w:rPr>
                <w:rFonts w:ascii="Times New Roman" w:eastAsia="Times New Roman" w:hAnsi="Times New Roman" w:cs="Times New Roman"/>
                <w:b/>
                <w:color w:val="000000"/>
                <w:sz w:val="22"/>
                <w:szCs w:val="22"/>
                <w:u w:val="single"/>
                <w:lang w:val="en-US"/>
              </w:rPr>
              <w:t>Contractor:</w:t>
            </w: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[Name / address / registry court / KRS [National Court Register]</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number / NIP [Tax ID]</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 contact person / e-mail address / telephone number]</w:t>
            </w:r>
          </w:p>
        </w:tc>
      </w:tr>
    </w:tbl>
    <w:p w:rsidR="009F5A3D" w:rsidRPr="00AE3EAD" w:rsidRDefault="00A73C02">
      <w:pPr>
        <w:numPr>
          <w:ilvl w:val="0"/>
          <w:numId w:val="3"/>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u w:val="single"/>
          <w:lang w:val="en-US"/>
        </w:rPr>
        <w:t>Contracting Party</w:t>
      </w:r>
      <w:r w:rsidRPr="00AE3EAD">
        <w:rPr>
          <w:rFonts w:ascii="Times New Roman" w:eastAsia="Times New Roman" w:hAnsi="Times New Roman" w:cs="Times New Roman"/>
          <w:color w:val="000000"/>
          <w:sz w:val="22"/>
          <w:szCs w:val="22"/>
          <w:lang w:val="en-US"/>
        </w:rPr>
        <w:t xml:space="preserve">: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Joint-Stock Company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ul. </w:t>
      </w:r>
      <w:proofErr w:type="spellStart"/>
      <w:r w:rsidRPr="00AE3EAD">
        <w:rPr>
          <w:rFonts w:ascii="Times New Roman" w:eastAsia="Times New Roman" w:hAnsi="Times New Roman" w:cs="Times New Roman"/>
          <w:color w:val="000000"/>
          <w:sz w:val="22"/>
          <w:szCs w:val="22"/>
          <w:lang w:val="en-US"/>
        </w:rPr>
        <w:t>Poznańska</w:t>
      </w:r>
      <w:proofErr w:type="spellEnd"/>
      <w:r w:rsidRPr="00AE3EAD">
        <w:rPr>
          <w:rFonts w:ascii="Times New Roman" w:eastAsia="Times New Roman" w:hAnsi="Times New Roman" w:cs="Times New Roman"/>
          <w:color w:val="000000"/>
          <w:sz w:val="22"/>
          <w:szCs w:val="22"/>
          <w:lang w:val="en-US"/>
        </w:rPr>
        <w:t xml:space="preserve"> 129/133, 05-850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AE3EAD">
        <w:rPr>
          <w:rFonts w:ascii="Times New Roman" w:eastAsia="Times New Roman" w:hAnsi="Times New Roman" w:cs="Times New Roman"/>
          <w:color w:val="000000"/>
          <w:sz w:val="22"/>
          <w:szCs w:val="22"/>
          <w:vertAlign w:val="superscript"/>
          <w:lang w:val="en-US"/>
        </w:rPr>
        <w:t>th</w:t>
      </w:r>
      <w:r w:rsidRPr="00AE3EAD">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AE3EAD">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AE3EAD">
        <w:rPr>
          <w:rFonts w:ascii="Times New Roman" w:eastAsia="Times New Roman" w:hAnsi="Times New Roman" w:cs="Times New Roman"/>
          <w:color w:val="000000"/>
          <w:sz w:val="22"/>
          <w:szCs w:val="22"/>
          <w:lang w:val="en-US"/>
        </w:rPr>
        <w:t>ofPLN</w:t>
      </w:r>
      <w:proofErr w:type="spellEnd"/>
      <w:r w:rsidRPr="00AE3EAD">
        <w:rPr>
          <w:rFonts w:ascii="Times New Roman" w:eastAsia="Times New Roman" w:hAnsi="Times New Roman" w:cs="Times New Roman"/>
          <w:color w:val="000000"/>
          <w:sz w:val="22"/>
          <w:szCs w:val="22"/>
          <w:lang w:val="en-US"/>
        </w:rPr>
        <w:t xml:space="preserve"> 729,000.00 (paid up in full)</w:t>
      </w:r>
    </w:p>
    <w:p w:rsidR="009F5A3D" w:rsidRPr="00AE3EAD" w:rsidRDefault="009F5A3D">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9F5A3D">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rsidR="009F5A3D" w:rsidRPr="00AE3EAD" w:rsidRDefault="00A73C02">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 xml:space="preserve">SPECIMEN OF PROPOSAL FORM </w:t>
      </w:r>
      <w:r w:rsidRPr="00AE3EAD">
        <w:rPr>
          <w:rFonts w:ascii="Times New Roman" w:eastAsia="Times New Roman" w:hAnsi="Times New Roman" w:cs="Times New Roman"/>
          <w:b/>
          <w:color w:val="000000"/>
          <w:sz w:val="22"/>
          <w:szCs w:val="22"/>
          <w:lang w:val="en-US"/>
        </w:rPr>
        <w:br/>
        <w:t>FOR THE REQUEST FOR PROPOSAL</w:t>
      </w:r>
      <w:r w:rsidR="00C21088">
        <w:rPr>
          <w:rFonts w:ascii="Times New Roman" w:eastAsia="Times New Roman" w:hAnsi="Times New Roman" w:cs="Times New Roman"/>
          <w:b/>
          <w:color w:val="000000"/>
          <w:sz w:val="22"/>
          <w:szCs w:val="22"/>
          <w:lang w:val="en-US"/>
        </w:rPr>
        <w:t>S</w:t>
      </w:r>
      <w:r w:rsidR="00AE3EAD">
        <w:rPr>
          <w:rFonts w:ascii="Times New Roman" w:eastAsia="Times New Roman" w:hAnsi="Times New Roman" w:cs="Times New Roman"/>
          <w:b/>
          <w:color w:val="000000"/>
          <w:sz w:val="22"/>
          <w:szCs w:val="22"/>
          <w:lang w:val="en-US"/>
        </w:rPr>
        <w:t xml:space="preserve"> of </w:t>
      </w:r>
      <w:r w:rsidR="00484CC0">
        <w:rPr>
          <w:rFonts w:ascii="Times New Roman" w:eastAsia="Times New Roman" w:hAnsi="Times New Roman" w:cs="Times New Roman"/>
          <w:b/>
          <w:color w:val="000000"/>
          <w:sz w:val="22"/>
          <w:szCs w:val="22"/>
          <w:lang w:val="en-US"/>
        </w:rPr>
        <w:t>8</w:t>
      </w:r>
      <w:r w:rsidR="00C21088">
        <w:rPr>
          <w:rFonts w:ascii="Times New Roman" w:eastAsia="Times New Roman" w:hAnsi="Times New Roman" w:cs="Times New Roman"/>
          <w:b/>
          <w:color w:val="000000"/>
          <w:sz w:val="22"/>
          <w:szCs w:val="22"/>
          <w:vertAlign w:val="superscript"/>
          <w:lang w:val="en-US"/>
        </w:rPr>
        <w:t>t</w:t>
      </w:r>
      <w:r w:rsidR="003F479B">
        <w:rPr>
          <w:rFonts w:ascii="Times New Roman" w:eastAsia="Times New Roman" w:hAnsi="Times New Roman" w:cs="Times New Roman"/>
          <w:b/>
          <w:color w:val="000000"/>
          <w:sz w:val="22"/>
          <w:szCs w:val="22"/>
          <w:vertAlign w:val="superscript"/>
          <w:lang w:val="en-US"/>
        </w:rPr>
        <w:t>h</w:t>
      </w:r>
      <w:r w:rsidR="00AE3EAD">
        <w:rPr>
          <w:rFonts w:ascii="Times New Roman" w:eastAsia="Times New Roman" w:hAnsi="Times New Roman" w:cs="Times New Roman"/>
          <w:b/>
          <w:color w:val="000000"/>
          <w:sz w:val="22"/>
          <w:szCs w:val="22"/>
          <w:vertAlign w:val="superscript"/>
          <w:lang w:val="en-US"/>
        </w:rPr>
        <w:t xml:space="preserve"> </w:t>
      </w:r>
      <w:r w:rsidR="008476E1">
        <w:rPr>
          <w:rFonts w:ascii="Times New Roman" w:eastAsia="Times New Roman" w:hAnsi="Times New Roman" w:cs="Times New Roman"/>
          <w:b/>
          <w:color w:val="000000"/>
          <w:sz w:val="22"/>
          <w:szCs w:val="22"/>
          <w:lang w:val="en-US"/>
        </w:rPr>
        <w:t>November</w:t>
      </w:r>
      <w:r w:rsidR="00AE3EAD">
        <w:rPr>
          <w:rFonts w:ascii="Times New Roman" w:eastAsia="Times New Roman" w:hAnsi="Times New Roman" w:cs="Times New Roman"/>
          <w:b/>
          <w:color w:val="000000"/>
          <w:sz w:val="22"/>
          <w:szCs w:val="22"/>
          <w:lang w:val="en-US"/>
        </w:rPr>
        <w:t xml:space="preserve"> 2021</w:t>
      </w:r>
      <w:r w:rsidRPr="00AE3EAD">
        <w:rPr>
          <w:rFonts w:ascii="Times New Roman" w:eastAsia="Times New Roman" w:hAnsi="Times New Roman" w:cs="Times New Roman"/>
          <w:b/>
          <w:color w:val="000000"/>
          <w:sz w:val="22"/>
          <w:szCs w:val="22"/>
          <w:lang w:val="en-US"/>
        </w:rPr>
        <w:br/>
        <w:t xml:space="preserve"> NUMBER </w:t>
      </w:r>
      <w:r w:rsidRPr="00AE3EAD">
        <w:rPr>
          <w:rFonts w:ascii="Times New Roman" w:eastAsia="Times New Roman" w:hAnsi="Times New Roman" w:cs="Times New Roman"/>
          <w:b/>
          <w:sz w:val="22"/>
          <w:szCs w:val="22"/>
          <w:lang w:val="en-US"/>
        </w:rPr>
        <w:t>IG</w:t>
      </w:r>
      <w:r w:rsidR="00AE3EAD">
        <w:rPr>
          <w:rFonts w:ascii="Times New Roman" w:eastAsia="Times New Roman" w:hAnsi="Times New Roman" w:cs="Times New Roman"/>
          <w:b/>
          <w:sz w:val="22"/>
          <w:szCs w:val="22"/>
          <w:lang w:val="en-US"/>
        </w:rPr>
        <w:t>A-</w:t>
      </w:r>
      <w:r w:rsidR="008476E1">
        <w:rPr>
          <w:rFonts w:ascii="Times New Roman" w:eastAsia="Times New Roman" w:hAnsi="Times New Roman" w:cs="Times New Roman"/>
          <w:b/>
          <w:sz w:val="22"/>
          <w:szCs w:val="22"/>
          <w:lang w:val="en-US"/>
        </w:rPr>
        <w:t>10</w:t>
      </w:r>
      <w:r w:rsidR="00AE3EAD">
        <w:rPr>
          <w:rFonts w:ascii="Times New Roman" w:eastAsia="Times New Roman" w:hAnsi="Times New Roman" w:cs="Times New Roman"/>
          <w:b/>
          <w:sz w:val="22"/>
          <w:szCs w:val="22"/>
          <w:lang w:val="en-US"/>
        </w:rPr>
        <w:t>_21</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AE3EAD">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F5712B">
        <w:rPr>
          <w:rFonts w:ascii="Times New Roman" w:eastAsia="Times New Roman" w:hAnsi="Times New Roman" w:cs="Times New Roman"/>
          <w:color w:val="000000"/>
          <w:sz w:val="22"/>
          <w:szCs w:val="22"/>
          <w:lang w:val="en-US"/>
        </w:rPr>
        <w:t>8</w:t>
      </w:r>
      <w:r w:rsidR="00C21088">
        <w:rPr>
          <w:rFonts w:ascii="Times New Roman" w:eastAsia="Times New Roman" w:hAnsi="Times New Roman" w:cs="Times New Roman"/>
          <w:color w:val="000000"/>
          <w:sz w:val="22"/>
          <w:szCs w:val="22"/>
          <w:vertAlign w:val="superscript"/>
          <w:lang w:val="en-US"/>
        </w:rPr>
        <w:t>t</w:t>
      </w:r>
      <w:r w:rsidR="003F479B">
        <w:rPr>
          <w:rFonts w:ascii="Times New Roman" w:eastAsia="Times New Roman" w:hAnsi="Times New Roman" w:cs="Times New Roman"/>
          <w:color w:val="000000"/>
          <w:sz w:val="22"/>
          <w:szCs w:val="22"/>
          <w:vertAlign w:val="superscript"/>
          <w:lang w:val="en-US"/>
        </w:rPr>
        <w:t>h</w:t>
      </w:r>
      <w:r w:rsidR="00AE3EAD">
        <w:rPr>
          <w:rFonts w:ascii="Times New Roman" w:eastAsia="Times New Roman" w:hAnsi="Times New Roman" w:cs="Times New Roman"/>
          <w:color w:val="000000"/>
          <w:sz w:val="22"/>
          <w:szCs w:val="22"/>
          <w:lang w:val="en-US"/>
        </w:rPr>
        <w:t xml:space="preserve"> </w:t>
      </w:r>
      <w:r w:rsidR="008476E1">
        <w:rPr>
          <w:rFonts w:ascii="Times New Roman" w:eastAsia="Times New Roman" w:hAnsi="Times New Roman" w:cs="Times New Roman"/>
          <w:color w:val="000000"/>
          <w:sz w:val="22"/>
          <w:szCs w:val="22"/>
          <w:lang w:val="en-US"/>
        </w:rPr>
        <w:t>November</w:t>
      </w:r>
      <w:r w:rsidR="001121CF">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 xml:space="preserve">2021 No. </w:t>
      </w:r>
      <w:r w:rsidRPr="00AE3EAD">
        <w:rPr>
          <w:rFonts w:ascii="Times New Roman" w:eastAsia="Times New Roman" w:hAnsi="Times New Roman" w:cs="Times New Roman"/>
          <w:sz w:val="22"/>
          <w:szCs w:val="22"/>
          <w:lang w:val="en-US"/>
        </w:rPr>
        <w:t>IGA</w:t>
      </w:r>
      <w:r w:rsidRPr="00AE3EAD">
        <w:rPr>
          <w:rFonts w:ascii="Times New Roman" w:eastAsia="Times New Roman" w:hAnsi="Times New Roman" w:cs="Times New Roman"/>
          <w:color w:val="000000"/>
          <w:sz w:val="22"/>
          <w:szCs w:val="22"/>
          <w:lang w:val="en-US"/>
        </w:rPr>
        <w:t>-</w:t>
      </w:r>
      <w:r w:rsidR="008476E1">
        <w:rPr>
          <w:rFonts w:ascii="Times New Roman" w:eastAsia="Times New Roman" w:hAnsi="Times New Roman" w:cs="Times New Roman"/>
          <w:color w:val="000000"/>
          <w:sz w:val="22"/>
          <w:szCs w:val="22"/>
          <w:lang w:val="en-US"/>
        </w:rPr>
        <w:t>10</w:t>
      </w:r>
      <w:r w:rsidR="00AE3EAD">
        <w:rPr>
          <w:rFonts w:ascii="Times New Roman" w:eastAsia="Times New Roman" w:hAnsi="Times New Roman" w:cs="Times New Roman"/>
          <w:color w:val="000000"/>
          <w:sz w:val="22"/>
          <w:szCs w:val="22"/>
          <w:lang w:val="en-US"/>
        </w:rPr>
        <w:t>_21</w:t>
      </w:r>
      <w:r w:rsidR="00AE3EAD" w:rsidRP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(hereinafter: "Inquiry")</w:t>
      </w:r>
      <w:r w:rsidR="00AE3EAD">
        <w:rPr>
          <w:rFonts w:ascii="Times New Roman" w:eastAsia="Times New Roman" w:hAnsi="Times New Roman" w:cs="Times New Roman"/>
          <w:color w:val="000000"/>
          <w:sz w:val="22"/>
          <w:szCs w:val="22"/>
          <w:lang w:val="en-US"/>
        </w:rPr>
        <w:t>, hereby submit</w:t>
      </w:r>
      <w:r w:rsidRPr="00AE3EAD">
        <w:rPr>
          <w:rFonts w:ascii="Times New Roman" w:eastAsia="Times New Roman" w:hAnsi="Times New Roman" w:cs="Times New Roman"/>
          <w:color w:val="000000"/>
          <w:sz w:val="22"/>
          <w:szCs w:val="22"/>
          <w:lang w:val="en-US"/>
        </w:rPr>
        <w:t xml:space="preserve"> an offer for </w:t>
      </w:r>
      <w:r w:rsidR="00C21088">
        <w:rPr>
          <w:rFonts w:ascii="Times New Roman" w:eastAsia="Times New Roman" w:hAnsi="Times New Roman" w:cs="Times New Roman"/>
          <w:color w:val="000000"/>
          <w:sz w:val="22"/>
          <w:szCs w:val="22"/>
          <w:lang w:val="en-US"/>
        </w:rPr>
        <w:t>gases – arsine (AsH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 and phosphine (PH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w:t>
      </w:r>
      <w:r w:rsidRPr="00AE3EAD">
        <w:rPr>
          <w:rFonts w:ascii="Times New Roman" w:eastAsia="Times New Roman" w:hAnsi="Times New Roman" w:cs="Times New Roman"/>
          <w:color w:val="000000"/>
          <w:sz w:val="22"/>
          <w:szCs w:val="22"/>
          <w:lang w:val="en-US"/>
        </w:rPr>
        <w:t xml:space="preserve"> (hereinafter: "Order") for comprehensive implementation by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(hereinafter: "Ordering Party" ") Under the project"</w:t>
      </w:r>
      <w:r w:rsidRPr="00AE3EAD">
        <w:rPr>
          <w:rFonts w:ascii="Times New Roman" w:eastAsia="Times New Roman" w:hAnsi="Times New Roman" w:cs="Times New Roman"/>
          <w:sz w:val="22"/>
          <w:szCs w:val="22"/>
          <w:lang w:val="en-US"/>
        </w:rPr>
        <w:t xml:space="preserve">"1.7 - 2.6 µm </w:t>
      </w:r>
      <w:proofErr w:type="spellStart"/>
      <w:r w:rsidRPr="00AE3EAD">
        <w:rPr>
          <w:rFonts w:ascii="Times New Roman" w:eastAsia="Times New Roman" w:hAnsi="Times New Roman" w:cs="Times New Roman"/>
          <w:sz w:val="22"/>
          <w:szCs w:val="22"/>
          <w:lang w:val="en-US"/>
        </w:rPr>
        <w:t>InGaAs</w:t>
      </w:r>
      <w:proofErr w:type="spellEnd"/>
      <w:r w:rsidRPr="00AE3EAD">
        <w:rPr>
          <w:rFonts w:ascii="Times New Roman" w:eastAsia="Times New Roman" w:hAnsi="Times New Roman" w:cs="Times New Roman"/>
          <w:sz w:val="22"/>
          <w:szCs w:val="22"/>
          <w:lang w:val="en-US"/>
        </w:rPr>
        <w:t xml:space="preserve"> sensors development with integrated ASIC" under the Intelligent Development Operational Program 2014 - 2020 co-financed by the European Development Fund Regional request for funding number: POIR.01.01.01-00-0480/20 </w:t>
      </w:r>
      <w:r w:rsidRPr="00AE3EAD">
        <w:rPr>
          <w:rFonts w:ascii="Times New Roman" w:eastAsia="Times New Roman" w:hAnsi="Times New Roman" w:cs="Times New Roman"/>
          <w:sz w:val="22"/>
          <w:szCs w:val="22"/>
          <w:lang w:val="en-US"/>
        </w:rPr>
        <w:lastRenderedPageBreak/>
        <w:t>of 29 May 2020 concluded with the National Center for Research and Development.</w:t>
      </w:r>
      <w:r w:rsidRPr="00AE3EAD">
        <w:rPr>
          <w:rFonts w:ascii="Times New Roman" w:eastAsia="Times New Roman" w:hAnsi="Times New Roman" w:cs="Times New Roman"/>
          <w:sz w:val="22"/>
          <w:szCs w:val="22"/>
          <w:lang w:val="en-US"/>
        </w:rPr>
        <w:tab/>
      </w:r>
      <w:r w:rsidRPr="00AE3EAD">
        <w:rPr>
          <w:rFonts w:ascii="Times New Roman" w:eastAsia="Times New Roman" w:hAnsi="Times New Roman" w:cs="Times New Roman"/>
          <w:sz w:val="22"/>
          <w:szCs w:val="22"/>
          <w:lang w:val="en-US"/>
        </w:rPr>
        <w:tab/>
      </w: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 xml:space="preserve"> - in accordance with the terms of the Order contained in the Inquiry</w:t>
      </w:r>
      <w:r w:rsidR="00AE3EAD">
        <w:rPr>
          <w:rFonts w:ascii="Times New Roman" w:eastAsia="Times New Roman" w:hAnsi="Times New Roman" w:cs="Times New Roman"/>
          <w:color w:val="000000"/>
          <w:sz w:val="22"/>
          <w:szCs w:val="22"/>
          <w:lang w:val="en-US"/>
        </w:rPr>
        <w:t xml:space="preserve"> and its attachments</w:t>
      </w:r>
      <w:r w:rsidRPr="00AE3EAD">
        <w:rPr>
          <w:rFonts w:ascii="Times New Roman" w:eastAsia="Times New Roman" w:hAnsi="Times New Roman" w:cs="Times New Roman"/>
          <w:color w:val="000000"/>
          <w:sz w:val="22"/>
          <w:szCs w:val="22"/>
          <w:lang w:val="en-US"/>
        </w:rPr>
        <w:t>.</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Total price offered for the Subject of the Contract</w:t>
      </w:r>
    </w:p>
    <w:p w:rsidR="009F5A3D" w:rsidRPr="009D3A20" w:rsidRDefault="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2" w:name="_heading=h.1fob9te" w:colFirst="0" w:colLast="0"/>
      <w:bookmarkEnd w:id="2"/>
      <w:r w:rsidRPr="009D3A20">
        <w:rPr>
          <w:rFonts w:ascii="Times New Roman" w:eastAsia="Times New Roman" w:hAnsi="Times New Roman" w:cs="Times New Roman"/>
          <w:color w:val="000000"/>
          <w:sz w:val="22"/>
          <w:szCs w:val="22"/>
          <w:lang w:val="en-US"/>
        </w:rPr>
        <w:t xml:space="preserve">Total </w:t>
      </w:r>
      <w:r w:rsidR="00A73C02" w:rsidRPr="009D3A20">
        <w:rPr>
          <w:rFonts w:ascii="Times New Roman" w:eastAsia="Times New Roman" w:hAnsi="Times New Roman" w:cs="Times New Roman"/>
          <w:color w:val="000000"/>
          <w:sz w:val="22"/>
          <w:szCs w:val="22"/>
          <w:lang w:val="en-US"/>
        </w:rPr>
        <w:t>Net Price: [………………………•] (in words: [………………………•]).</w:t>
      </w:r>
    </w:p>
    <w:p w:rsidR="009F5A3D" w:rsidRPr="009D3A20" w:rsidRDefault="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00A73C02" w:rsidRPr="009D3A20">
        <w:rPr>
          <w:rFonts w:ascii="Times New Roman" w:eastAsia="Times New Roman" w:hAnsi="Times New Roman" w:cs="Times New Roman"/>
          <w:color w:val="000000"/>
          <w:sz w:val="22"/>
          <w:szCs w:val="22"/>
          <w:lang w:val="en-US"/>
        </w:rPr>
        <w:t>Gross Price: [………………………•]  (in words: [………………………•]).</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phosphine (PH3) shall take place by 1st April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arsine (AsH¬3) shall take place by 1st June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phosphine (PH3) and 1 cylinder of arsine (AsH3) shall take place by 1st August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3A70E7" w:rsidRDefault="009D3A20" w:rsidP="003A70E7">
      <w:pPr>
        <w:pBdr>
          <w:top w:val="nil"/>
          <w:left w:val="nil"/>
          <w:bottom w:val="nil"/>
          <w:right w:val="nil"/>
          <w:between w:val="nil"/>
        </w:pBdr>
        <w:spacing w:after="140" w:line="290" w:lineRule="auto"/>
        <w:ind w:leftChars="0" w:left="0" w:firstLineChars="0" w:firstLine="0"/>
        <w:jc w:val="both"/>
        <w:rPr>
          <w:rFonts w:ascii="Times New Roman" w:eastAsia="Times New Roman" w:hAnsi="Times New Roman" w:cs="Times New Roman"/>
          <w:color w:val="000000"/>
          <w:sz w:val="22"/>
          <w:szCs w:val="22"/>
          <w:lang w:val="en-US"/>
        </w:rPr>
      </w:pPr>
      <w:bookmarkStart w:id="3" w:name="_GoBack"/>
      <w:bookmarkEnd w:id="3"/>
    </w:p>
    <w:p w:rsidR="009F5A3D" w:rsidRPr="00AE3EAD" w:rsidRDefault="00A73C02">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AE3EAD">
        <w:rPr>
          <w:rFonts w:ascii="Times New Roman" w:eastAsia="Times New Roman" w:hAnsi="Times New Roman" w:cs="Times New Roman"/>
          <w:b/>
          <w:color w:val="000000"/>
          <w:sz w:val="22"/>
          <w:szCs w:val="22"/>
          <w:lang w:val="en-US"/>
        </w:rPr>
        <w:t>Acceptance table (fill yes/no):</w:t>
      </w:r>
      <w:r w:rsidRPr="00AE3EAD">
        <w:rPr>
          <w:rFonts w:ascii="Times New Roman" w:eastAsia="Times New Roman" w:hAnsi="Times New Roman" w:cs="Times New Roman"/>
          <w:color w:val="000000"/>
          <w:sz w:val="22"/>
          <w:szCs w:val="22"/>
          <w:u w:val="single"/>
          <w:lang w:val="en-US"/>
        </w:rPr>
        <w:t xml:space="preserve"> </w:t>
      </w:r>
    </w:p>
    <w:tbl>
      <w:tblPr>
        <w:tblStyle w:v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2835"/>
        <w:gridCol w:w="2126"/>
      </w:tblGrid>
      <w:tr w:rsidR="00CD22E1" w:rsidTr="00C2108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CD22E1" w:rsidRDefault="00CD22E1" w:rsidP="00BE5C57">
            <w:pPr>
              <w:widowControl w:val="0"/>
              <w:spacing w:after="0" w:line="240" w:lineRule="auto"/>
              <w:ind w:left="0" w:hanging="2"/>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Parameter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DDDDDD"/>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Specification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DDDDD"/>
          </w:tcPr>
          <w:p w:rsidR="00CD22E1" w:rsidRDefault="00CD22E1" w:rsidP="00BE5C57">
            <w:pPr>
              <w:widowControl w:val="0"/>
              <w:spacing w:line="240" w:lineRule="auto"/>
              <w:ind w:left="0" w:hanging="2"/>
              <w:rPr>
                <w:color w:val="000000"/>
                <w:sz w:val="16"/>
                <w:szCs w:val="16"/>
              </w:rPr>
            </w:pPr>
            <w:proofErr w:type="spellStart"/>
            <w:r>
              <w:rPr>
                <w:color w:val="000000"/>
                <w:sz w:val="16"/>
                <w:szCs w:val="16"/>
              </w:rPr>
              <w:t>Yes</w:t>
            </w:r>
            <w:proofErr w:type="spellEnd"/>
            <w:r>
              <w:rPr>
                <w:color w:val="000000"/>
                <w:sz w:val="16"/>
                <w:szCs w:val="16"/>
              </w:rPr>
              <w:t>/no</w:t>
            </w:r>
          </w:p>
        </w:tc>
      </w:tr>
      <w:tr w:rsidR="00CD22E1" w:rsidTr="00C21088">
        <w:trPr>
          <w:trHeight w:val="23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line="240" w:lineRule="auto"/>
              <w:ind w:left="0" w:hanging="2"/>
              <w:rPr>
                <w:b/>
                <w:bCs/>
              </w:rPr>
            </w:pPr>
            <w:proofErr w:type="spellStart"/>
            <w:r>
              <w:t>Arsine</w:t>
            </w:r>
            <w:proofErr w:type="spellEnd"/>
            <w:r>
              <w:t xml:space="preserve"> (AsH</w:t>
            </w:r>
            <w:r>
              <w:rPr>
                <w:vertAlign w:val="subscript"/>
              </w:rPr>
              <w:t>3</w:t>
            </w:r>
            <w:r>
              <w:t>)</w:t>
            </w: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rFonts w:asciiTheme="majorHAnsi" w:hAnsiTheme="majorHAnsi" w:cstheme="majorHAnsi"/>
                <w:color w:val="000000"/>
              </w:rPr>
            </w:pPr>
            <w:r>
              <w:t>Grade:</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99.99995%</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
                <w:bCs/>
                <w:u w:val="single"/>
              </w:rPr>
            </w:pPr>
            <w:proofErr w:type="spellStart"/>
            <w:r>
              <w:t>Valve</w:t>
            </w:r>
            <w:proofErr w:type="spellEnd"/>
            <w:r>
              <w:t xml:space="preserve"> Connection</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Din 1 </w:t>
            </w:r>
            <w:proofErr w:type="spellStart"/>
            <w:r>
              <w:t>or</w:t>
            </w:r>
            <w:proofErr w:type="spellEnd"/>
            <w:r>
              <w:t xml:space="preserve"> </w:t>
            </w:r>
            <w:proofErr w:type="spellStart"/>
            <w:r>
              <w:t>Diss</w:t>
            </w:r>
            <w:proofErr w:type="spellEnd"/>
            <w:r>
              <w:t xml:space="preserve"> 632 </w:t>
            </w:r>
            <w:proofErr w:type="spellStart"/>
            <w:r>
              <w:t>Pneumatic</w:t>
            </w:r>
            <w:proofErr w:type="spellEnd"/>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Cs/>
                <w:u w:val="single"/>
              </w:rPr>
            </w:pPr>
            <w:proofErr w:type="spellStart"/>
            <w:r>
              <w:rPr>
                <w:bCs/>
                <w:u w:val="single"/>
              </w:rPr>
              <w:t>Impurities</w:t>
            </w:r>
            <w:proofErr w:type="spellEnd"/>
            <w:r>
              <w:rPr>
                <w:bCs/>
                <w:u w:val="single"/>
              </w:rPr>
              <w:t xml:space="preserve">: </w:t>
            </w:r>
          </w:p>
          <w:p w:rsidR="00CD22E1" w:rsidRDefault="00CD22E1" w:rsidP="00BE5C57">
            <w:pPr>
              <w:spacing w:after="0" w:line="240" w:lineRule="auto"/>
              <w:ind w:left="0" w:hanging="2"/>
              <w:rPr>
                <w:b/>
                <w:bCs/>
                <w:u w:val="single"/>
              </w:rPr>
            </w:pPr>
            <w:proofErr w:type="spellStart"/>
            <w:r>
              <w:t>Cadmium</w:t>
            </w:r>
            <w:proofErr w:type="spellEnd"/>
            <w:r>
              <w:t xml:space="preserve"> (Cd), </w:t>
            </w:r>
            <w:proofErr w:type="spellStart"/>
            <w:r>
              <w:t>Calcium</w:t>
            </w:r>
            <w:proofErr w:type="spellEnd"/>
            <w:r>
              <w:t xml:space="preserve"> (Ca), </w:t>
            </w:r>
            <w:proofErr w:type="spellStart"/>
            <w:r>
              <w:t>Chromium</w:t>
            </w:r>
            <w:proofErr w:type="spellEnd"/>
            <w:r>
              <w:t xml:space="preserve"> (Cr), </w:t>
            </w:r>
            <w:proofErr w:type="spellStart"/>
            <w:r>
              <w:t>Cobalt</w:t>
            </w:r>
            <w:proofErr w:type="spellEnd"/>
            <w:r>
              <w:t xml:space="preserve"> (Co), </w:t>
            </w:r>
            <w:proofErr w:type="spellStart"/>
            <w:r>
              <w:t>Copper</w:t>
            </w:r>
            <w:proofErr w:type="spellEnd"/>
            <w:r>
              <w:t xml:space="preserve"> (Cu), </w:t>
            </w:r>
            <w:proofErr w:type="spellStart"/>
            <w:r>
              <w:t>Gallium</w:t>
            </w:r>
            <w:proofErr w:type="spellEnd"/>
            <w:r>
              <w:t xml:space="preserve"> (Ga), </w:t>
            </w:r>
            <w:proofErr w:type="spellStart"/>
            <w:r>
              <w:lastRenderedPageBreak/>
              <w:t>Germanium</w:t>
            </w:r>
            <w:proofErr w:type="spellEnd"/>
            <w:r>
              <w:t xml:space="preserve"> (Ge), </w:t>
            </w:r>
            <w:proofErr w:type="spellStart"/>
            <w:r>
              <w:t>Lead</w:t>
            </w:r>
            <w:proofErr w:type="spellEnd"/>
            <w:r>
              <w:t xml:space="preserve"> (Pb), </w:t>
            </w:r>
            <w:proofErr w:type="spellStart"/>
            <w:r>
              <w:t>Magnesium</w:t>
            </w:r>
            <w:proofErr w:type="spellEnd"/>
            <w:r>
              <w:t xml:space="preserve"> (Mg), </w:t>
            </w:r>
            <w:proofErr w:type="spellStart"/>
            <w:r>
              <w:t>Molybdenum</w:t>
            </w:r>
            <w:proofErr w:type="spellEnd"/>
            <w:r>
              <w:t xml:space="preserve"> (Mo), </w:t>
            </w:r>
            <w:proofErr w:type="spellStart"/>
            <w:r>
              <w:t>Nickel</w:t>
            </w:r>
            <w:proofErr w:type="spellEnd"/>
            <w:r>
              <w:t xml:space="preserve"> (Ni), </w:t>
            </w:r>
            <w:proofErr w:type="spellStart"/>
            <w:r>
              <w:t>Silicon</w:t>
            </w:r>
            <w:proofErr w:type="spellEnd"/>
            <w:r>
              <w:t xml:space="preserve"> (Si), </w:t>
            </w:r>
            <w:proofErr w:type="spellStart"/>
            <w:r>
              <w:t>Sodium</w:t>
            </w:r>
            <w:proofErr w:type="spellEnd"/>
            <w:r>
              <w:t xml:space="preserve"> (Na), Tin (Sn), </w:t>
            </w:r>
            <w:proofErr w:type="spellStart"/>
            <w:r>
              <w:t>Zinc</w:t>
            </w:r>
            <w:proofErr w:type="spellEnd"/>
            <w:r>
              <w:t xml:space="preserve"> (Zn),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lastRenderedPageBreak/>
              <w:t xml:space="preserve">≤10 </w:t>
            </w:r>
            <w:proofErr w:type="spellStart"/>
            <w:r>
              <w:t>ppbw</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bCs/>
                <w:lang w:val="en-US"/>
              </w:rPr>
            </w:pPr>
            <w:r w:rsidRPr="00CD22E1">
              <w:rPr>
                <w:lang w:val="en-US"/>
              </w:rPr>
              <w:t>Germane (GeH</w:t>
            </w:r>
            <w:r w:rsidR="00C049A8">
              <w:rPr>
                <w:vertAlign w:val="subscript"/>
                <w:lang w:val="en-US"/>
              </w:rPr>
              <w:t>4</w:t>
            </w:r>
            <w:r w:rsidRPr="00CD22E1">
              <w:rPr>
                <w:lang w:val="en-US"/>
              </w:rPr>
              <w:t>), Silane (SiH</w:t>
            </w:r>
            <w:r w:rsidR="00C049A8">
              <w:rPr>
                <w:vertAlign w:val="subscript"/>
                <w:lang w:val="en-US"/>
              </w:rPr>
              <w:t>4</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Dioxide (CO</w:t>
            </w:r>
            <w:r w:rsidR="00C049A8">
              <w:rPr>
                <w:vertAlign w:val="subscript"/>
                <w:lang w:val="en-US"/>
              </w:rPr>
              <w:t>2</w:t>
            </w:r>
            <w:r w:rsidRPr="00CD22E1">
              <w:rPr>
                <w:lang w:val="en-US"/>
              </w:rPr>
              <w:t>), Oxygen (O</w:t>
            </w:r>
            <w:r w:rsidR="00C049A8">
              <w:rPr>
                <w:vertAlign w:val="subscript"/>
                <w:lang w:val="en-US"/>
              </w:rPr>
              <w:t>2</w:t>
            </w:r>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 25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Monoxide (CO), Carbonyl Sulfide (COS), Hydrogen Sulfide (H</w:t>
            </w:r>
            <w:r w:rsidR="00C049A8">
              <w:rPr>
                <w:vertAlign w:val="subscript"/>
                <w:lang w:val="en-US"/>
              </w:rPr>
              <w:t>2</w:t>
            </w:r>
            <w:r w:rsidR="00C049A8">
              <w:rPr>
                <w:lang w:val="en-US"/>
              </w:rPr>
              <w:t>S</w:t>
            </w:r>
            <w:r w:rsidRPr="00CD22E1">
              <w:rPr>
                <w:lang w:val="en-US"/>
              </w:rPr>
              <w:t>), Nitrogen (N</w:t>
            </w:r>
            <w:r w:rsidR="00C049A8">
              <w:rPr>
                <w:vertAlign w:val="subscript"/>
                <w:lang w:val="en-US"/>
              </w:rPr>
              <w:t>2</w:t>
            </w:r>
            <w:r w:rsidRPr="00CD22E1">
              <w:rPr>
                <w:lang w:val="en-US"/>
              </w:rPr>
              <w:t>), Argon (</w:t>
            </w:r>
            <w:proofErr w:type="spellStart"/>
            <w:r w:rsidRPr="00CD22E1">
              <w:rPr>
                <w:lang w:val="en-US"/>
              </w:rPr>
              <w:t>Ar</w:t>
            </w:r>
            <w:proofErr w:type="spellEnd"/>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Ethane (C</w:t>
            </w:r>
            <w:r w:rsidR="00C049A8">
              <w:rPr>
                <w:vertAlign w:val="subscript"/>
                <w:lang w:val="en-US"/>
              </w:rPr>
              <w:t>2</w:t>
            </w:r>
            <w:r w:rsidR="00C049A8">
              <w:rPr>
                <w:lang w:val="en-US"/>
              </w:rPr>
              <w:t>H</w:t>
            </w:r>
            <w:r w:rsidR="00C049A8">
              <w:rPr>
                <w:vertAlign w:val="subscript"/>
                <w:lang w:val="en-US"/>
              </w:rPr>
              <w:t>6</w:t>
            </w:r>
            <w:r w:rsidRPr="00CD22E1">
              <w:rPr>
                <w:lang w:val="en-US"/>
              </w:rPr>
              <w:t>), Methane (CH</w:t>
            </w:r>
            <w:r w:rsidR="00C049A8">
              <w:rPr>
                <w:vertAlign w:val="subscript"/>
                <w:lang w:val="en-US"/>
              </w:rPr>
              <w:t>4</w:t>
            </w:r>
            <w:r w:rsidRPr="00CD22E1">
              <w:rPr>
                <w:lang w:val="en-US"/>
              </w:rPr>
              <w:t>), Water (H</w:t>
            </w:r>
            <w:r w:rsidR="00C049A8">
              <w:rPr>
                <w:vertAlign w:val="subscript"/>
                <w:lang w:val="en-US"/>
              </w:rPr>
              <w:t>2</w:t>
            </w:r>
            <w:r w:rsidR="00C049A8">
              <w:rPr>
                <w:lang w:val="en-US"/>
              </w:rPr>
              <w:t>O</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w:t>
            </w:r>
            <w:r>
              <w:rPr>
                <w:rFonts w:asciiTheme="majorHAnsi" w:hAnsiTheme="majorHAnsi" w:cstheme="majorHAnsi"/>
              </w:rPr>
              <w:t xml:space="preserve">100 </w:t>
            </w:r>
            <w:proofErr w:type="spellStart"/>
            <w:r>
              <w:rPr>
                <w:rFonts w:asciiTheme="majorHAnsi" w:hAnsiTheme="majorHAnsi" w:cstheme="majorHAnsi"/>
              </w:rP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bl>
    <w:tbl>
      <w:tblPr>
        <w:tblStyle w:val="2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0"/>
        <w:gridCol w:w="2835"/>
        <w:gridCol w:w="2126"/>
      </w:tblGrid>
      <w:tr w:rsidR="00C21088" w:rsidRPr="00C21088" w:rsidTr="00C21088">
        <w:trPr>
          <w:trHeight w:val="39"/>
        </w:trPr>
        <w:tc>
          <w:tcPr>
            <w:tcW w:w="1418" w:type="dxa"/>
            <w:shd w:val="clear" w:color="auto" w:fill="DDDDDD"/>
            <w:vAlign w:val="cente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Product name</w:t>
            </w:r>
          </w:p>
        </w:tc>
        <w:tc>
          <w:tcPr>
            <w:tcW w:w="3260" w:type="dxa"/>
            <w:shd w:val="clear" w:color="auto" w:fill="DDDDDD"/>
            <w:tcMar>
              <w:top w:w="55" w:type="dxa"/>
              <w:left w:w="55" w:type="dxa"/>
              <w:bottom w:w="55" w:type="dxa"/>
              <w:right w:w="55" w:type="dxa"/>
            </w:tcMa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Parameter</w:t>
            </w:r>
          </w:p>
        </w:tc>
        <w:tc>
          <w:tcPr>
            <w:tcW w:w="2835"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Specification</w:t>
            </w:r>
          </w:p>
        </w:tc>
        <w:tc>
          <w:tcPr>
            <w:tcW w:w="2126"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Pr>
                <w:color w:val="000000"/>
                <w:position w:val="0"/>
                <w:sz w:val="16"/>
                <w:szCs w:val="16"/>
                <w:lang w:val="en-US" w:eastAsia="pl-PL"/>
              </w:rPr>
              <w:t>Yes/no</w:t>
            </w:r>
          </w:p>
        </w:tc>
      </w:tr>
      <w:tr w:rsidR="00C21088" w:rsidRPr="00C21088" w:rsidTr="00C21088">
        <w:trPr>
          <w:trHeight w:val="38"/>
        </w:trPr>
        <w:tc>
          <w:tcPr>
            <w:tcW w:w="1418" w:type="dxa"/>
            <w:vMerge w:val="restart"/>
            <w:vAlign w:val="cente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lang w:val="en-US" w:eastAsia="pl-PL"/>
              </w:rPr>
            </w:pPr>
            <w:r w:rsidRPr="00C21088">
              <w:rPr>
                <w:position w:val="0"/>
                <w:lang w:val="en-US" w:eastAsia="pl-PL"/>
              </w:rPr>
              <w:t>Phosphine (PH</w:t>
            </w:r>
            <w:r w:rsidRPr="00C21088">
              <w:rPr>
                <w:position w:val="0"/>
                <w:vertAlign w:val="subscript"/>
                <w:lang w:val="en-US" w:eastAsia="pl-PL"/>
              </w:rPr>
              <w:t>3</w:t>
            </w:r>
            <w:r w:rsidRPr="00C21088">
              <w:rPr>
                <w:position w:val="0"/>
                <w:lang w:val="en-US" w:eastAsia="pl-PL"/>
              </w:rPr>
              <w:t>)</w:t>
            </w: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r w:rsidRPr="00C21088">
              <w:rPr>
                <w:position w:val="0"/>
                <w:lang w:val="en-US" w:eastAsia="pl-PL"/>
              </w:rPr>
              <w:t>Grade:</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≥99.999</w:t>
            </w:r>
            <w:r w:rsidR="008476E1">
              <w:rPr>
                <w:position w:val="0"/>
                <w:lang w:val="en-US" w:eastAsia="pl-PL"/>
              </w:rPr>
              <w:t>5</w:t>
            </w:r>
            <w:r w:rsidRPr="00C21088">
              <w:rPr>
                <w:position w:val="0"/>
                <w:lang w:val="en-US" w:eastAsia="pl-PL"/>
              </w:rPr>
              <w:t>%</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u w:val="single"/>
                <w:lang w:val="en-US" w:eastAsia="pl-PL"/>
              </w:rPr>
            </w:pPr>
            <w:r w:rsidRPr="00C21088">
              <w:rPr>
                <w:position w:val="0"/>
                <w:lang w:val="en-US" w:eastAsia="pl-PL"/>
              </w:rPr>
              <w:t>Valve Connection</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DIN 1 or Diss 632 Pneumatic</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Carbon Dioxide (CO</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0,05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Water (H</w:t>
            </w:r>
            <w:r w:rsidR="00AF387E">
              <w:rPr>
                <w:position w:val="0"/>
                <w:vertAlign w:val="subscript"/>
                <w:lang w:val="en-US" w:eastAsia="pl-PL"/>
              </w:rPr>
              <w:t>2</w:t>
            </w:r>
            <w:r w:rsidR="00AF387E">
              <w:rPr>
                <w:position w:val="0"/>
                <w:lang w:val="en-US" w:eastAsia="pl-PL"/>
              </w:rPr>
              <w:t>O</w:t>
            </w:r>
            <w:r w:rsidRPr="00C21088">
              <w:rPr>
                <w:position w:val="0"/>
                <w:lang w:val="en-US" w:eastAsia="pl-PL"/>
              </w:rPr>
              <w:t xml:space="preserve">), </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rFonts w:asciiTheme="majorHAnsi" w:hAnsiTheme="majorHAnsi" w:cstheme="majorHAnsi"/>
                <w:position w:val="0"/>
                <w:lang w:val="en-US" w:eastAsia="pl-PL"/>
              </w:rPr>
              <w:t xml:space="preserve">≤ 0,14 </w:t>
            </w:r>
            <w:proofErr w:type="spellStart"/>
            <w:r w:rsidRPr="00C21088">
              <w:rPr>
                <w:rFonts w:asciiTheme="majorHAnsi" w:hAnsiTheme="majorHAnsi" w:cstheme="majorHAnsi"/>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rFonts w:asciiTheme="majorHAnsi" w:hAnsiTheme="majorHAnsi" w:cstheme="majorHAnsi"/>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Arsine (AsH</w:t>
            </w:r>
            <w:r w:rsidR="00AF387E">
              <w:rPr>
                <w:position w:val="0"/>
                <w:vertAlign w:val="subscript"/>
                <w:lang w:val="en-US" w:eastAsia="pl-PL"/>
              </w:rPr>
              <w:t>3</w:t>
            </w:r>
            <w:r w:rsidRPr="00C21088">
              <w:rPr>
                <w:position w:val="0"/>
                <w:lang w:val="en-US" w:eastAsia="pl-PL"/>
              </w:rPr>
              <w:t>), Carbon Monoxide (CO), Ethane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6</w:t>
            </w:r>
            <w:r w:rsidRPr="00C21088">
              <w:rPr>
                <w:position w:val="0"/>
                <w:lang w:val="en-US" w:eastAsia="pl-PL"/>
              </w:rPr>
              <w:t>), Ethylene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4</w:t>
            </w:r>
            <w:r w:rsidRPr="00C21088">
              <w:rPr>
                <w:position w:val="0"/>
                <w:lang w:val="en-US" w:eastAsia="pl-PL"/>
              </w:rPr>
              <w:t>), Methane (CH</w:t>
            </w:r>
            <w:r w:rsidR="00AF387E">
              <w:rPr>
                <w:position w:val="0"/>
                <w:vertAlign w:val="subscript"/>
                <w:lang w:val="en-US" w:eastAsia="pl-PL"/>
              </w:rPr>
              <w:t>4</w:t>
            </w:r>
            <w:r w:rsidRPr="00C21088">
              <w:rPr>
                <w:position w:val="0"/>
                <w:lang w:val="en-US" w:eastAsia="pl-PL"/>
              </w:rPr>
              <w:t>), Oxygen (O</w:t>
            </w:r>
            <w:r w:rsidR="00AF387E">
              <w:rPr>
                <w:position w:val="0"/>
                <w:vertAlign w:val="subscript"/>
                <w:lang w:val="en-US" w:eastAsia="pl-PL"/>
              </w:rPr>
              <w:t>2</w:t>
            </w:r>
            <w:r w:rsidRPr="00C21088">
              <w:rPr>
                <w:position w:val="0"/>
                <w:lang w:val="en-US" w:eastAsia="pl-PL"/>
              </w:rPr>
              <w:t>), Argon (</w:t>
            </w:r>
            <w:proofErr w:type="spellStart"/>
            <w:r w:rsidRPr="00C21088">
              <w:rPr>
                <w:position w:val="0"/>
                <w:lang w:val="en-US" w:eastAsia="pl-PL"/>
              </w:rPr>
              <w:t>Ar</w:t>
            </w:r>
            <w:proofErr w:type="spellEnd"/>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0,1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Hydrogen (H</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Nitrogen (N</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 0.12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bl>
    <w:p w:rsidR="009F5A3D" w:rsidRPr="00262B54" w:rsidRDefault="009F5A3D">
      <w:pPr>
        <w:spacing w:line="360" w:lineRule="auto"/>
        <w:ind w:left="0" w:hanging="2"/>
        <w:rPr>
          <w:rFonts w:ascii="Times New Roman" w:eastAsia="Times New Roman" w:hAnsi="Times New Roman" w:cs="Times New Roman"/>
          <w:sz w:val="22"/>
          <w:szCs w:val="22"/>
          <w:u w:val="single"/>
          <w:lang w:val="en-US"/>
        </w:rPr>
      </w:pPr>
      <w:bookmarkStart w:id="4" w:name="_heading=h.2et92p0" w:colFirst="0" w:colLast="0"/>
      <w:bookmarkEnd w:id="4"/>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rsidR="009F5A3D" w:rsidRDefault="009F5A3D">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validity period of the proposal is 30</w:t>
      </w:r>
      <w:r w:rsid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days from the final date of the time limit for the proposal submission, as defined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having read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particularly the terms and conditions of the Contract performance, contract, and does not raise any objections and also confirms the receipt of all the information necessary to prepare the following proposal and to perform the Contract.</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agrees to perform the Contract described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in accordance with the requirements included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and with mandatory provisions of law and acting with due diligence.</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as follows:</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product will be delivered in terms required in Request of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w:t>
      </w:r>
    </w:p>
    <w:p w:rsidR="009F5A3D" w:rsidRPr="00262B54" w:rsidRDefault="00A73C02" w:rsidP="00262B54">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Documents attached to this proposal constitute an integral part hereof.</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rsidR="009F5A3D" w:rsidRDefault="009F5A3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 issued not earlier than 3 months before the deadline for submitting bids - coming from the registration authority indicating the persons authorized to represent the Contractor.</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lastRenderedPageBreak/>
        <w:t>Power of attorney (if the offer is submitted by an attorney-in-fact) Appendix No. 6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Contractor's declaration on meeting the conditions for participation in the procedure Appendix 3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Contractor's declaration on the lack of connections – Appendix No. 4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Description of the offered product;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GDPR statement – Appendix No. 7 to the inquiry.</w:t>
      </w:r>
    </w:p>
    <w:p w:rsidR="009F5A3D" w:rsidRPr="00AE3EAD" w:rsidRDefault="009F5A3D">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9F5A3D" w:rsidRPr="00AE3EA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C8F" w:rsidRDefault="00F52C8F">
      <w:pPr>
        <w:spacing w:line="240" w:lineRule="auto"/>
        <w:ind w:left="0" w:hanging="2"/>
      </w:pPr>
      <w:r>
        <w:separator/>
      </w:r>
    </w:p>
  </w:endnote>
  <w:endnote w:type="continuationSeparator" w:id="0">
    <w:p w:rsidR="00F52C8F" w:rsidRDefault="00F52C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AE3EA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E3EAD">
      <w:rPr>
        <w:noProof/>
        <w:color w:val="000000"/>
      </w:rPr>
      <w:t>1</w:t>
    </w:r>
    <w:r>
      <w:rPr>
        <w:color w:val="000000"/>
      </w:rPr>
      <w:fldChar w:fldCharType="end"/>
    </w:r>
  </w:p>
  <w:p w:rsidR="00AB42A7" w:rsidRDefault="00AB42A7" w:rsidP="00AB42A7">
    <w:pPr>
      <w:pBdr>
        <w:top w:val="nil"/>
        <w:left w:val="nil"/>
        <w:bottom w:val="nil"/>
        <w:right w:val="nil"/>
        <w:between w:val="nil"/>
      </w:pBdr>
      <w:spacing w:line="240" w:lineRule="auto"/>
      <w:ind w:left="0" w:hanging="2"/>
      <w:rPr>
        <w:color w:val="000000"/>
      </w:rPr>
    </w:pPr>
    <w:r>
      <w:rPr>
        <w:color w:val="000000"/>
      </w:rPr>
      <w:t>IGA-</w:t>
    </w:r>
    <w:r w:rsidR="001121CF">
      <w:rPr>
        <w:color w:val="000000"/>
      </w:rPr>
      <w:t>10</w:t>
    </w:r>
    <w:r>
      <w:rPr>
        <w:color w:val="000000"/>
      </w:rPr>
      <w:t>_21</w:t>
    </w: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C8F" w:rsidRDefault="00F52C8F">
      <w:pPr>
        <w:spacing w:line="240" w:lineRule="auto"/>
        <w:ind w:left="0" w:hanging="2"/>
      </w:pPr>
      <w:r>
        <w:separator/>
      </w:r>
    </w:p>
  </w:footnote>
  <w:footnote w:type="continuationSeparator" w:id="0">
    <w:p w:rsidR="00F52C8F" w:rsidRDefault="00F52C8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A73C02">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F5A3D" w:rsidRDefault="009F5A3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7" o:spid="_x0000_s1026" style="position:absolute;left:0;text-align:left;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" filled="f" stroked="f">
              <v:textbox inset="2.53958mm,2.53958mm,2.53958mm,2.53958mm">
                <w:txbxContent>
                  <w:p w:rsidR="009F5A3D" w:rsidRDefault="009F5A3D">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9F5A3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66"/>
    <w:multiLevelType w:val="multilevel"/>
    <w:tmpl w:val="141030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12A16F46"/>
    <w:multiLevelType w:val="multilevel"/>
    <w:tmpl w:val="40ECF5FC"/>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15:restartNumberingAfterBreak="0">
    <w:nsid w:val="188A20F0"/>
    <w:multiLevelType w:val="multilevel"/>
    <w:tmpl w:val="A134C19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8973EE6"/>
    <w:multiLevelType w:val="multilevel"/>
    <w:tmpl w:val="7E2CC05A"/>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E22407"/>
    <w:multiLevelType w:val="hybridMultilevel"/>
    <w:tmpl w:val="ACF0FDA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 w15:restartNumberingAfterBreak="0">
    <w:nsid w:val="717B4A85"/>
    <w:multiLevelType w:val="multilevel"/>
    <w:tmpl w:val="4D1EF55A"/>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3D"/>
    <w:rsid w:val="000406E4"/>
    <w:rsid w:val="001121CF"/>
    <w:rsid w:val="00126F52"/>
    <w:rsid w:val="001762DC"/>
    <w:rsid w:val="001D030D"/>
    <w:rsid w:val="00262B54"/>
    <w:rsid w:val="003A70E7"/>
    <w:rsid w:val="003F479B"/>
    <w:rsid w:val="00445909"/>
    <w:rsid w:val="00484CC0"/>
    <w:rsid w:val="008476E1"/>
    <w:rsid w:val="009C22DC"/>
    <w:rsid w:val="009D3A20"/>
    <w:rsid w:val="009F5A3D"/>
    <w:rsid w:val="00A57733"/>
    <w:rsid w:val="00A73C02"/>
    <w:rsid w:val="00AA1FC5"/>
    <w:rsid w:val="00AB42A7"/>
    <w:rsid w:val="00AE3EAD"/>
    <w:rsid w:val="00AF387E"/>
    <w:rsid w:val="00B92395"/>
    <w:rsid w:val="00C049A8"/>
    <w:rsid w:val="00C21088"/>
    <w:rsid w:val="00C25669"/>
    <w:rsid w:val="00CD22E1"/>
    <w:rsid w:val="00F52C8F"/>
    <w:rsid w:val="00F57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589C"/>
  <w15:docId w15:val="{DAD4AB62-3405-43DC-B0AA-3F389A54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 w:type="table" w:customStyle="1" w:styleId="2">
    <w:name w:val="2"/>
    <w:basedOn w:val="TableNormal0"/>
    <w:rsid w:val="00CD22E1"/>
    <w:pPr>
      <w:spacing w:after="200" w:line="276" w:lineRule="auto"/>
      <w:ind w:firstLine="0"/>
    </w:pPr>
    <w:rPr>
      <w:sz w:val="22"/>
      <w:szCs w:val="22"/>
    </w:rPr>
    <w:tblPr>
      <w:tblStyleRowBandSize w:val="1"/>
      <w:tblStyleColBandSize w:val="1"/>
      <w:tblCellMar>
        <w:top w:w="28" w:type="dxa"/>
        <w:left w:w="28" w:type="dxa"/>
        <w:bottom w:w="28" w:type="dxa"/>
        <w:right w:w="28" w:type="dxa"/>
      </w:tblCellMar>
    </w:tblPr>
  </w:style>
  <w:style w:type="table" w:customStyle="1" w:styleId="21">
    <w:name w:val="21"/>
    <w:basedOn w:val="Standardowy"/>
    <w:rsid w:val="00C21088"/>
    <w:pPr>
      <w:spacing w:after="200" w:line="276" w:lineRule="auto"/>
      <w:ind w:firstLine="0"/>
    </w:pPr>
    <w:rPr>
      <w:sz w:val="22"/>
      <w:szCs w:val="22"/>
      <w:lang w:val="pl-PL"/>
    </w:rPr>
    <w:tblPr>
      <w:tblStyleRowBandSize w:val="1"/>
      <w:tblStyleColBandSize w:val="1"/>
      <w:tblInd w:w="0" w:type="nil"/>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HO3in6s9l6G3gYHIXh/E7zCA==">AMUW2mW783gofxKS9su/w0fqbBFQSirSf7zC69212GDPYAMGPyEpzd+2cREWemvKRFoBhKDXmtewR+A7TtZ8Hmb8XY5/cB09Ar+O2cse4cqzZHZeFX4ryzLxuhG+iufQkJHdrTRJhjg2a7BcJqjVgyYmb14dDx1/51uAV8fvZDz4V27i/0KmCoPhKLf6spaHdxPhswhytLVj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14</cp:revision>
  <dcterms:created xsi:type="dcterms:W3CDTF">2021-09-29T09:32:00Z</dcterms:created>
  <dcterms:modified xsi:type="dcterms:W3CDTF">2021-11-08T14:55:00Z</dcterms:modified>
</cp:coreProperties>
</file>