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order is a supply of asings for detectors and modules as per specifications :</w:t>
      </w:r>
    </w:p>
    <w:p w:rsidR="00000000" w:rsidDel="00000000" w:rsidP="00000000" w:rsidRDefault="00000000" w:rsidRPr="00000000" w14:paraId="00000004">
      <w:pPr>
        <w:numPr>
          <w:ilvl w:val="0"/>
          <w:numId w:val="1"/>
        </w:numPr>
        <w:spacing w:after="0" w:line="240" w:lineRule="auto"/>
        <w:ind w:left="720" w:hanging="360"/>
        <w:jc w:val="both"/>
        <w:rPr/>
      </w:pPr>
      <w:r w:rsidDel="00000000" w:rsidR="00000000" w:rsidRPr="00000000">
        <w:rPr>
          <w:rtl w:val="0"/>
        </w:rPr>
        <w:t xml:space="preserve">ZWP-TO39PH-R001.1 - TO39 - cap for hermetic sealing - no window</w:t>
        <w:tab/>
        <w:tab/>
        <w:t xml:space="preserve">500 pcs.</w:t>
      </w:r>
      <w:r w:rsidDel="00000000" w:rsidR="00000000" w:rsidRPr="00000000">
        <w:rPr>
          <w:rtl w:val="0"/>
        </w:rPr>
      </w:r>
    </w:p>
    <w:p w:rsidR="00000000" w:rsidDel="00000000" w:rsidP="00000000" w:rsidRDefault="00000000" w:rsidRPr="00000000" w14:paraId="00000005">
      <w:pPr>
        <w:numPr>
          <w:ilvl w:val="0"/>
          <w:numId w:val="1"/>
        </w:numPr>
        <w:spacing w:after="0" w:line="240" w:lineRule="auto"/>
        <w:ind w:left="720" w:hanging="360"/>
        <w:jc w:val="both"/>
        <w:rPr>
          <w:u w:val="none"/>
        </w:rPr>
      </w:pPr>
      <w:r w:rsidDel="00000000" w:rsidR="00000000" w:rsidRPr="00000000">
        <w:rPr>
          <w:rtl w:val="0"/>
        </w:rPr>
        <w:t xml:space="preserve">ZWP-TO39PH-R002.1 - TO39 cap for hermetic sealing MSGH - no window</w:t>
        <w:tab/>
        <w:t xml:space="preserve">500 pcs.</w:t>
      </w:r>
      <w:r w:rsidDel="00000000" w:rsidR="00000000" w:rsidRPr="00000000">
        <w:rPr>
          <w:rtl w:val="0"/>
        </w:rPr>
      </w:r>
    </w:p>
    <w:p w:rsidR="00000000" w:rsidDel="00000000" w:rsidP="00000000" w:rsidRDefault="00000000" w:rsidRPr="00000000" w14:paraId="00000006">
      <w:pPr>
        <w:spacing w:after="0" w:line="240" w:lineRule="auto"/>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order, including precise technical drawings and materials, will be provided to Contractors after signing non-disclosure agreement (NDA), as referred to in point 2.3 of the Request for Proposal.</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Time-limit for completion of the contract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jc w:val="both"/>
        <w:rPr/>
      </w:pPr>
      <w:r w:rsidDel="00000000" w:rsidR="00000000" w:rsidRPr="00000000">
        <w:rPr>
          <w:rtl w:val="0"/>
        </w:rPr>
        <w:t xml:space="preserve">As soon as possible, no later than 6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Additional conditions related to the subject of the order.</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in accordance with attached documentation.</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in given tolerances. If drawing contains not tolerated dimensions and there is no proper information on the drawing, elements shall be made in tolerance +/- 0.1mm.</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of materials indicated in drawing- tables.</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t>
      </w:r>
      <w:r w:rsidDel="00000000" w:rsidR="00000000" w:rsidRPr="00000000">
        <w:rPr>
          <w:rtl w:val="0"/>
        </w:rPr>
        <w:t xml:space="preserve">is a quantity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elements needed to perform one set, indicated in each drawing-table, i.e. quantity of elements to perform means a number of pieces of one set </w:t>
      </w:r>
      <w:r w:rsidDel="00000000" w:rsidR="00000000" w:rsidRPr="00000000">
        <w:rPr>
          <w:rtl w:val="0"/>
        </w:rPr>
        <w:t xml:space="preserve">multiplied by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number of sets. </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elements delivered to the headquarters of the Contracting Party must be washed, ungreased. Elements must not contain any shavings or jagged edges, dents and other defects of the surface.</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elements must be collated, packed in a way that secures elements from damaging in transport and storage. </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will be randomly checked with certified measuring instruments in order to confirm compatibility of the elements with attached documentation. In case of incompatibility of the element with its documentation, the Contracting Party reserves the right to </w:t>
      </w:r>
      <w:r w:rsidDel="00000000" w:rsidR="00000000" w:rsidRPr="00000000">
        <w:rPr>
          <w:rtl w:val="0"/>
        </w:rPr>
        <w:t xml:space="preserve">return the whole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order to the Contractor to check and correct the elements.</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failure to deliver </w:t>
      </w:r>
      <w:r w:rsidDel="00000000" w:rsidR="00000000" w:rsidRPr="00000000">
        <w:rPr>
          <w:rtl w:val="0"/>
        </w:rPr>
        <w:t xml:space="preserve">a required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quantity of elements or in case of delivery of elements made of the wrong materials, the Contracting Party will require the Contractor to perform the missing elements or to perform the elements of the right materials.</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bookmarkStart w:colFirst="0" w:colLast="0" w:name="_heading=h.3znysh7"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Delivered goods must be factory new (I category – unused), meet the technologically-qualitative requirements determined by the manufacturer and be put on the market in accordance with the provisions of law in force on the territory of the Republic of Poland.</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28.0" w:type="dxa"/>
        <w:left w:w="70.0" w:type="dxa"/>
        <w:bottom w:w="28.0" w:type="dxa"/>
        <w:right w:w="70.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paragraph" w:styleId="Tekstdymka">
    <w:name w:val="Balloon Text"/>
    <w:basedOn w:val="Normalny"/>
    <w:link w:val="TekstdymkaZnak"/>
    <w:uiPriority w:val="99"/>
    <w:semiHidden w:val="1"/>
    <w:unhideWhenUsed w:val="1"/>
    <w:rsid w:val="00AA7355"/>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AA7355"/>
    <w:rPr>
      <w:rFonts w:ascii="Segoe UI" w:cs="Segoe UI" w:hAnsi="Segoe UI"/>
      <w:sz w:val="18"/>
      <w:szCs w:val="18"/>
    </w:rPr>
  </w:style>
  <w:style w:type="table" w:styleId="a1" w:customStyle="1">
    <w:basedOn w:val="TableNormal0"/>
    <w:tblPr>
      <w:tblStyleRowBandSize w:val="1"/>
      <w:tblStyleColBandSize w:val="1"/>
      <w:tblCellMar>
        <w:top w:w="28.0" w:type="dxa"/>
        <w:left w:w="70.0" w:type="dxa"/>
        <w:bottom w:w="28.0" w:type="dxa"/>
        <w:right w:w="70.0" w:type="dxa"/>
      </w:tblCellMar>
    </w:tblPr>
  </w:style>
  <w:style w:type="paragraph" w:styleId="Akapitzlist">
    <w:name w:val="List Paragraph"/>
    <w:basedOn w:val="Normalny"/>
    <w:uiPriority w:val="34"/>
    <w:qFormat w:val="1"/>
    <w:rsid w:val="00905BDF"/>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eEEWEa7Y2Sz/xn1b/l6cBhJ1Kg==">AMUW2mWRuPG411f5FydlAkYkAcqZIK/UMJ+JxrGind1fWCdLO+7998EBywuJ/goeHkBWxLdAsWcRD6e8Z/ZC+cYQ8N3wVoUFucU2HcD+R255fS351uvQwFSEcicHZrU+4nFKmMyQ0b4rhsplO9ZFK/jSTh5Vb80b3g==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2021-01-20T16:25:00Z</dcterms:created>
  <dc:creator>Dominik Nowak</dc:creator>
</cp:coreProperties>
</file>