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00" w:line="360" w:lineRule="auto"/>
        <w:jc w:val="center"/>
        <w:rPr>
          <w:b w:val="1"/>
        </w:rPr>
      </w:pPr>
      <w:bookmarkStart w:colFirst="0" w:colLast="0" w:name="_heading=h.gjdgxs" w:id="0"/>
      <w:bookmarkEnd w:id="0"/>
      <w:r w:rsidDel="00000000" w:rsidR="00000000" w:rsidRPr="00000000">
        <w:rPr>
          <w:b w:val="1"/>
          <w:rtl w:val="0"/>
        </w:rPr>
        <w:t xml:space="preserve">ORDER DESCRIPTION</w:t>
      </w:r>
    </w:p>
    <w:p w:rsidR="00000000" w:rsidDel="00000000" w:rsidP="00000000" w:rsidRDefault="00000000" w:rsidRPr="00000000" w14:paraId="00000002">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u w:val="single"/>
        </w:rPr>
      </w:pPr>
      <w:r w:rsidDel="00000000" w:rsidR="00000000" w:rsidRPr="00000000">
        <w:rPr>
          <w:b w:val="1"/>
          <w:color w:val="000000"/>
          <w:u w:val="single"/>
          <w:rtl w:val="0"/>
        </w:rPr>
        <w:t xml:space="preserve">Object of the contract</w:t>
      </w:r>
    </w:p>
    <w:p w:rsidR="00000000" w:rsidDel="00000000" w:rsidP="00000000" w:rsidRDefault="00000000" w:rsidRPr="00000000" w14:paraId="00000003">
      <w:pPr>
        <w:spacing w:after="0" w:line="240" w:lineRule="auto"/>
        <w:jc w:val="both"/>
        <w:rPr/>
      </w:pPr>
      <w:r w:rsidDel="00000000" w:rsidR="00000000" w:rsidRPr="00000000">
        <w:rPr>
          <w:rtl w:val="0"/>
        </w:rPr>
        <w:t xml:space="preserve">The subject of the order is the supply of semiconductors sapphire wafers listed below by name and quantity needed:</w:t>
      </w:r>
    </w:p>
    <w:p w:rsidR="00000000" w:rsidDel="00000000" w:rsidP="00000000" w:rsidRDefault="00000000" w:rsidRPr="00000000" w14:paraId="00000004">
      <w:pPr>
        <w:numPr>
          <w:ilvl w:val="0"/>
          <w:numId w:val="1"/>
        </w:numPr>
        <w:spacing w:after="0" w:line="240" w:lineRule="auto"/>
        <w:ind w:left="720" w:hanging="360"/>
        <w:jc w:val="both"/>
        <w:rPr/>
      </w:pPr>
      <w:r w:rsidDel="00000000" w:rsidR="00000000" w:rsidRPr="00000000">
        <w:rPr>
          <w:rtl w:val="0"/>
        </w:rPr>
        <w:t xml:space="preserve">sapphire wafers</w:t>
        <w:tab/>
        <w:tab/>
        <w:t xml:space="preserve">2 psc.</w:t>
      </w:r>
    </w:p>
    <w:p w:rsidR="00000000" w:rsidDel="00000000" w:rsidP="00000000" w:rsidRDefault="00000000" w:rsidRPr="00000000" w14:paraId="00000005">
      <w:pPr>
        <w:spacing w:after="0" w:line="240" w:lineRule="auto"/>
        <w:ind w:left="720" w:firstLine="0"/>
        <w:jc w:val="both"/>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u w:val="single"/>
        </w:rPr>
      </w:pPr>
      <w:r w:rsidDel="00000000" w:rsidR="00000000" w:rsidRPr="00000000">
        <w:rPr>
          <w:b w:val="1"/>
          <w:color w:val="000000"/>
          <w:u w:val="single"/>
          <w:rtl w:val="0"/>
        </w:rPr>
        <w:t xml:space="preserve">The scope of the subject of the contract</w:t>
      </w:r>
    </w:p>
    <w:p w:rsidR="00000000" w:rsidDel="00000000" w:rsidP="00000000" w:rsidRDefault="00000000" w:rsidRPr="00000000" w14:paraId="00000007">
      <w:pPr>
        <w:spacing w:after="0" w:line="240" w:lineRule="auto"/>
        <w:jc w:val="both"/>
        <w:rPr/>
      </w:pP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A detailed description of the subject of the contract is provided in section 5 of this document. </w:t>
      </w:r>
    </w:p>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u w:val="single"/>
        </w:rPr>
      </w:pPr>
      <w:r w:rsidDel="00000000" w:rsidR="00000000" w:rsidRPr="00000000">
        <w:rPr>
          <w:b w:val="1"/>
          <w:color w:val="000000"/>
          <w:u w:val="single"/>
          <w:rtl w:val="0"/>
        </w:rPr>
        <w:t xml:space="preserve">Criterion</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ind w:left="360" w:firstLine="0"/>
        <w:rPr>
          <w:b w:val="1"/>
          <w:color w:val="000000"/>
          <w:u w:val="single"/>
        </w:rPr>
      </w:pPr>
      <w:r w:rsidDel="00000000" w:rsidR="00000000" w:rsidRPr="00000000">
        <w:rPr>
          <w:color w:val="000000"/>
          <w:rtl w:val="0"/>
        </w:rPr>
        <w:t xml:space="preserve">Offers will be evaluated according to a point scale with a maximum number of points of 100.</w:t>
      </w:r>
      <w:r w:rsidDel="00000000" w:rsidR="00000000" w:rsidRPr="00000000">
        <w:rPr>
          <w:rtl w:val="0"/>
        </w:rPr>
      </w:r>
    </w:p>
    <w:tbl>
      <w:tblPr>
        <w:tblStyle w:val="Table1"/>
        <w:tblW w:w="9353.0" w:type="dxa"/>
        <w:jc w:val="left"/>
        <w:tblInd w:w="0.0" w:type="dxa"/>
        <w:tblLayout w:type="fixed"/>
        <w:tblLook w:val="0000"/>
      </w:tblPr>
      <w:tblGrid>
        <w:gridCol w:w="2974"/>
        <w:gridCol w:w="3119"/>
        <w:gridCol w:w="3260"/>
        <w:tblGridChange w:id="0">
          <w:tblGrid>
            <w:gridCol w:w="2974"/>
            <w:gridCol w:w="3119"/>
            <w:gridCol w:w="3260"/>
          </w:tblGrid>
        </w:tblGridChange>
      </w:tblGrid>
      <w:tr>
        <w:trPr>
          <w:cantSplit w:val="0"/>
          <w:tblHeader w:val="0"/>
        </w:trPr>
        <w:tc>
          <w:tcPr>
            <w:tcBorders>
              <w:top w:color="000000" w:space="0" w:sz="4" w:val="single"/>
              <w:left w:color="000000" w:space="0" w:sz="4" w:val="single"/>
              <w:bottom w:color="000000" w:space="0" w:sz="4" w:val="single"/>
            </w:tcBorders>
            <w:shd w:fill="dddddd" w:val="clear"/>
            <w:tcMar>
              <w:top w:w="55.0" w:type="dxa"/>
              <w:left w:w="55.0" w:type="dxa"/>
              <w:bottom w:w="55.0" w:type="dxa"/>
              <w:right w:w="55.0" w:type="dxa"/>
            </w:tcMar>
            <w:vAlign w:val="center"/>
          </w:tcPr>
          <w:p w:rsidR="00000000" w:rsidDel="00000000" w:rsidP="00000000" w:rsidRDefault="00000000" w:rsidRPr="00000000" w14:paraId="0000000C">
            <w:pPr>
              <w:widowControl w:val="0"/>
              <w:spacing w:after="0" w:line="240" w:lineRule="auto"/>
              <w:jc w:val="center"/>
              <w:rPr/>
            </w:pPr>
            <w:r w:rsidDel="00000000" w:rsidR="00000000" w:rsidRPr="00000000">
              <w:rPr>
                <w:rtl w:val="0"/>
              </w:rPr>
              <w:t xml:space="preserve">Criterion</w:t>
            </w:r>
          </w:p>
        </w:tc>
        <w:tc>
          <w:tcPr>
            <w:tcBorders>
              <w:top w:color="000000" w:space="0" w:sz="4" w:val="single"/>
              <w:left w:color="000000" w:space="0" w:sz="4" w:val="single"/>
              <w:bottom w:color="000000" w:space="0" w:sz="4" w:val="single"/>
              <w:right w:color="000000" w:space="0" w:sz="4" w:val="single"/>
            </w:tcBorders>
            <w:shd w:fill="dddddd" w:val="clear"/>
            <w:tcMar>
              <w:top w:w="55.0" w:type="dxa"/>
              <w:left w:w="55.0" w:type="dxa"/>
              <w:bottom w:w="55.0" w:type="dxa"/>
              <w:right w:w="55.0" w:type="dxa"/>
            </w:tcMar>
          </w:tcPr>
          <w:p w:rsidR="00000000" w:rsidDel="00000000" w:rsidP="00000000" w:rsidRDefault="00000000" w:rsidRPr="00000000" w14:paraId="0000000D">
            <w:pPr>
              <w:widowControl w:val="0"/>
              <w:spacing w:after="0" w:line="240" w:lineRule="auto"/>
              <w:jc w:val="center"/>
              <w:rPr/>
            </w:pPr>
            <w:r w:rsidDel="00000000" w:rsidR="00000000" w:rsidRPr="00000000">
              <w:rPr>
                <w:rtl w:val="0"/>
              </w:rPr>
              <w:t xml:space="preserve">Maximum number of points S</w:t>
            </w:r>
          </w:p>
        </w:tc>
        <w:tc>
          <w:tcPr>
            <w:tcBorders>
              <w:top w:color="000000" w:space="0" w:sz="4" w:val="single"/>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0E">
            <w:pPr>
              <w:widowControl w:val="0"/>
              <w:spacing w:after="0" w:line="240" w:lineRule="auto"/>
              <w:jc w:val="center"/>
              <w:rPr/>
            </w:pPr>
            <w:r w:rsidDel="00000000" w:rsidR="00000000" w:rsidRPr="00000000">
              <w:rPr>
                <w:rtl w:val="0"/>
              </w:rPr>
              <w:t xml:space="preserve">Method of awarding points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vAlign w:val="center"/>
          </w:tcPr>
          <w:p w:rsidR="00000000" w:rsidDel="00000000" w:rsidP="00000000" w:rsidRDefault="00000000" w:rsidRPr="00000000" w14:paraId="0000000F">
            <w:pPr>
              <w:widowControl w:val="0"/>
              <w:spacing w:after="0" w:line="240" w:lineRule="auto"/>
              <w:rPr/>
            </w:pPr>
            <w:r w:rsidDel="00000000" w:rsidR="00000000" w:rsidRPr="00000000">
              <w:rPr>
                <w:rtl w:val="0"/>
              </w:rPr>
              <w:t xml:space="preserve">Net Price  (P)</w:t>
            </w:r>
          </w:p>
        </w:tc>
        <w:tc>
          <w:tcPr>
            <w:tcBorders>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010">
            <w:pPr>
              <w:widowControl w:val="0"/>
              <w:spacing w:after="0" w:line="240" w:lineRule="auto"/>
              <w:jc w:val="center"/>
              <w:rPr/>
            </w:pPr>
            <w:r w:rsidDel="00000000" w:rsidR="00000000" w:rsidRPr="00000000">
              <w:rPr>
                <w:rtl w:val="0"/>
              </w:rPr>
              <w:t xml:space="preserve">100</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0"/>
              <w:spacing w:after="0" w:line="240" w:lineRule="auto"/>
              <w:jc w:val="center"/>
              <w:rPr/>
            </w:pPr>
            <w:r w:rsidDel="00000000" w:rsidR="00000000" w:rsidRPr="00000000">
              <w:rPr>
                <w:rtl w:val="0"/>
              </w:rPr>
              <w:t xml:space="preserve">S x Pmin/Pi</w:t>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rPr>
          <w:b w:val="1"/>
          <w:color w:val="000000"/>
          <w:u w:val="singl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rPr>
          <w:color w:val="000000"/>
        </w:rPr>
      </w:pPr>
      <w:r w:rsidDel="00000000" w:rsidR="00000000" w:rsidRPr="00000000">
        <w:rPr>
          <w:color w:val="000000"/>
          <w:rtl w:val="0"/>
        </w:rPr>
        <w:t xml:space="preserve">Where:</w:t>
      </w:r>
    </w:p>
    <w:p w:rsidR="00000000" w:rsidDel="00000000" w:rsidP="00000000" w:rsidRDefault="00000000" w:rsidRPr="00000000" w14:paraId="00000014">
      <w:pPr>
        <w:numPr>
          <w:ilvl w:val="0"/>
          <w:numId w:val="3"/>
        </w:numPr>
        <w:spacing w:after="0" w:line="240" w:lineRule="auto"/>
        <w:ind w:left="720" w:hanging="360"/>
        <w:jc w:val="both"/>
        <w:rPr/>
      </w:pPr>
      <w:r w:rsidDel="00000000" w:rsidR="00000000" w:rsidRPr="00000000">
        <w:rPr>
          <w:rtl w:val="0"/>
        </w:rPr>
        <w:t xml:space="preserve">Pi – net price of goods - for the given offer</w:t>
      </w:r>
    </w:p>
    <w:p w:rsidR="00000000" w:rsidDel="00000000" w:rsidP="00000000" w:rsidRDefault="00000000" w:rsidRPr="00000000" w14:paraId="00000015">
      <w:pPr>
        <w:numPr>
          <w:ilvl w:val="0"/>
          <w:numId w:val="3"/>
        </w:numPr>
        <w:spacing w:after="0" w:line="240" w:lineRule="auto"/>
        <w:ind w:left="720" w:hanging="360"/>
        <w:jc w:val="both"/>
        <w:rPr/>
      </w:pPr>
      <w:r w:rsidDel="00000000" w:rsidR="00000000" w:rsidRPr="00000000">
        <w:rPr>
          <w:rtl w:val="0"/>
        </w:rPr>
        <w:t xml:space="preserve">Pmin - the minimum net price for the ordered goods from all offers submitted</w:t>
      </w:r>
    </w:p>
    <w:p w:rsidR="00000000" w:rsidDel="00000000" w:rsidP="00000000" w:rsidRDefault="00000000" w:rsidRPr="00000000" w14:paraId="00000016">
      <w:pPr>
        <w:numPr>
          <w:ilvl w:val="0"/>
          <w:numId w:val="3"/>
        </w:numPr>
        <w:spacing w:after="0" w:line="240" w:lineRule="auto"/>
        <w:ind w:left="720" w:hanging="360"/>
        <w:jc w:val="both"/>
        <w:rPr/>
      </w:pPr>
      <w:r w:rsidDel="00000000" w:rsidR="00000000" w:rsidRPr="00000000">
        <w:rPr>
          <w:rtl w:val="0"/>
        </w:rPr>
        <w:t xml:space="preserve">S – number of points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360" w:lineRule="auto"/>
        <w:rPr>
          <w:b w:val="1"/>
          <w:color w:val="000000"/>
          <w:u w:val="single"/>
        </w:rPr>
      </w:pPr>
      <w:bookmarkStart w:colFirst="0" w:colLast="0" w:name="_heading=h.30j0zll" w:id="1"/>
      <w:bookmarkEnd w:id="1"/>
      <w:r w:rsidDel="00000000" w:rsidR="00000000" w:rsidRPr="00000000">
        <w:rPr>
          <w:rtl w:val="0"/>
        </w:rPr>
        <w:t xml:space="preserve">The final score will be calculated by adding up the partial components and then rounded to two decimal places (rounded from "5" up).</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rPr>
      </w:pPr>
      <w:r w:rsidDel="00000000" w:rsidR="00000000" w:rsidRPr="00000000">
        <w:rPr>
          <w:b w:val="1"/>
          <w:color w:val="000000"/>
          <w:u w:val="single"/>
          <w:rtl w:val="0"/>
        </w:rPr>
        <w:t xml:space="preserve">Deadline for completi</w:t>
      </w:r>
      <w:r w:rsidDel="00000000" w:rsidR="00000000" w:rsidRPr="00000000">
        <w:rPr>
          <w:b w:val="1"/>
          <w:u w:val="single"/>
          <w:rtl w:val="0"/>
        </w:rPr>
        <w:t xml:space="preserve">on</w:t>
      </w:r>
      <w:r w:rsidDel="00000000" w:rsidR="00000000" w:rsidRPr="00000000">
        <w:rPr>
          <w:b w:val="1"/>
          <w:color w:val="000000"/>
          <w:u w:val="single"/>
          <w:rtl w:val="0"/>
        </w:rPr>
        <w:t xml:space="preserve"> of the order</w:t>
      </w:r>
      <w:r w:rsidDel="00000000" w:rsidR="00000000" w:rsidRPr="00000000">
        <w:rPr>
          <w:rtl w:val="0"/>
        </w:rPr>
      </w:r>
    </w:p>
    <w:p w:rsidR="00000000" w:rsidDel="00000000" w:rsidP="00000000" w:rsidRDefault="00000000" w:rsidRPr="00000000" w14:paraId="00000019">
      <w:pPr>
        <w:spacing w:after="240" w:before="240" w:line="360" w:lineRule="auto"/>
        <w:jc w:val="both"/>
        <w:rPr>
          <w:b w:val="1"/>
        </w:rPr>
      </w:pPr>
      <w:r w:rsidDel="00000000" w:rsidR="00000000" w:rsidRPr="00000000">
        <w:rPr>
          <w:b w:val="1"/>
          <w:rtl w:val="0"/>
        </w:rPr>
        <w:t xml:space="preserve">As soon as possible, no later than 10 weeks from the date of placing the order.</w:t>
      </w:r>
    </w:p>
    <w:p w:rsidR="00000000" w:rsidDel="00000000" w:rsidP="00000000" w:rsidRDefault="00000000" w:rsidRPr="00000000" w14:paraId="0000001A">
      <w:pPr>
        <w:spacing w:after="240" w:before="240" w:line="360" w:lineRule="auto"/>
        <w:jc w:val="both"/>
        <w:rPr/>
      </w:pPr>
      <w:r w:rsidDel="00000000" w:rsidR="00000000" w:rsidRPr="00000000">
        <w:rPr>
          <w:rtl w:val="0"/>
        </w:rPr>
        <w:t xml:space="preserve">Deadline for completion of the order includes readiness to hand over the goods to the Ordering Party, which complies with application of the EXW Incoterms2020 principle. According to the EXW (ex works) principle, the moment of delivery of the goods is considered to be the moment of placing the goods at the disposal of the buyer at a place indicated by the supplier (factory, plant etc.).</w:t>
      </w:r>
    </w:p>
    <w:p w:rsidR="00000000" w:rsidDel="00000000" w:rsidP="00000000" w:rsidRDefault="00000000" w:rsidRPr="00000000" w14:paraId="0000001B">
      <w:pPr>
        <w:spacing w:after="240" w:before="240" w:line="360" w:lineRule="auto"/>
        <w:jc w:val="both"/>
        <w:rPr>
          <w:b w:val="1"/>
        </w:rPr>
      </w:pPr>
      <w:r w:rsidDel="00000000" w:rsidR="00000000" w:rsidRPr="00000000">
        <w:rPr>
          <w:b w:val="1"/>
          <w:rtl w:val="0"/>
        </w:rPr>
        <w:t xml:space="preserve">The Ordering Party shall accept application of other Incoterms2020 principles (such as FCA, DAP etc.), on condition that the Contractor will meet the deadline for completion, as referred to above.</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360" w:lineRule="auto"/>
        <w:ind w:left="360" w:hanging="360"/>
        <w:rPr>
          <w:b w:val="1"/>
          <w:color w:val="000000"/>
        </w:rPr>
      </w:pPr>
      <w:r w:rsidDel="00000000" w:rsidR="00000000" w:rsidRPr="00000000">
        <w:rPr>
          <w:b w:val="1"/>
          <w:color w:val="000000"/>
          <w:u w:val="single"/>
          <w:rtl w:val="0"/>
        </w:rPr>
        <w:t xml:space="preserve">Parameters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left="360" w:firstLine="0"/>
        <w:rPr>
          <w:b w:val="1"/>
          <w:u w:val="single"/>
        </w:rPr>
      </w:pPr>
      <w:r w:rsidDel="00000000" w:rsidR="00000000" w:rsidRPr="00000000">
        <w:rPr>
          <w:b w:val="1"/>
          <w:u w:val="single"/>
          <w:rtl w:val="0"/>
        </w:rPr>
        <w:t xml:space="preserve">5.1 Detailed scope of the subject</w:t>
      </w:r>
    </w:p>
    <w:tbl>
      <w:tblPr>
        <w:tblStyle w:val="Table2"/>
        <w:tblW w:w="10470.0" w:type="dxa"/>
        <w:jc w:val="left"/>
        <w:tblInd w:w="-6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0"/>
        <w:gridCol w:w="1920"/>
        <w:gridCol w:w="3585"/>
        <w:gridCol w:w="3585"/>
        <w:tblGridChange w:id="0">
          <w:tblGrid>
            <w:gridCol w:w="1380"/>
            <w:gridCol w:w="1920"/>
            <w:gridCol w:w="3585"/>
            <w:gridCol w:w="3585"/>
          </w:tblGrid>
        </w:tblGridChange>
      </w:tblGrid>
      <w:tr>
        <w:trPr>
          <w:cantSplit w:val="0"/>
          <w:trHeight w:val="240" w:hRule="atLeast"/>
          <w:tblHeader w:val="0"/>
        </w:trPr>
        <w:tc>
          <w:tcPr>
            <w:shd w:fill="dddddd" w:val="clear"/>
            <w:vAlign w:val="center"/>
          </w:tcPr>
          <w:p w:rsidR="00000000" w:rsidDel="00000000" w:rsidP="00000000" w:rsidRDefault="00000000" w:rsidRPr="00000000" w14:paraId="0000001E">
            <w:pPr>
              <w:widowControl w:val="0"/>
              <w:spacing w:after="0" w:line="240" w:lineRule="auto"/>
              <w:rPr>
                <w:sz w:val="16"/>
                <w:szCs w:val="16"/>
              </w:rPr>
            </w:pPr>
            <w:r w:rsidDel="00000000" w:rsidR="00000000" w:rsidRPr="00000000">
              <w:rPr>
                <w:sz w:val="16"/>
                <w:szCs w:val="16"/>
                <w:rtl w:val="0"/>
              </w:rPr>
              <w:t xml:space="preserve">Product name</w:t>
            </w:r>
          </w:p>
        </w:tc>
        <w:tc>
          <w:tcPr>
            <w:shd w:fill="dddddd" w:val="clear"/>
            <w:tcMar>
              <w:top w:w="55.0" w:type="dxa"/>
              <w:left w:w="55.0" w:type="dxa"/>
              <w:bottom w:w="55.0" w:type="dxa"/>
              <w:right w:w="55.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rtl w:val="0"/>
              </w:rPr>
            </w:r>
          </w:p>
        </w:tc>
        <w:tc>
          <w:tcPr>
            <w:shd w:fill="dddddd" w:val="clear"/>
          </w:tcPr>
          <w:p w:rsidR="00000000" w:rsidDel="00000000" w:rsidP="00000000" w:rsidRDefault="00000000" w:rsidRPr="00000000" w14:paraId="00000020">
            <w:pPr>
              <w:widowControl w:val="0"/>
              <w:spacing w:after="0" w:line="240" w:lineRule="auto"/>
              <w:rPr>
                <w:color w:val="000000"/>
                <w:sz w:val="16"/>
                <w:szCs w:val="16"/>
              </w:rPr>
            </w:pPr>
            <w:r w:rsidDel="00000000" w:rsidR="00000000" w:rsidRPr="00000000">
              <w:rPr>
                <w:sz w:val="16"/>
                <w:szCs w:val="16"/>
                <w:rtl w:val="0"/>
              </w:rPr>
              <w:t xml:space="preserve">Parametrer</w:t>
            </w:r>
            <w:r w:rsidDel="00000000" w:rsidR="00000000" w:rsidRPr="00000000">
              <w:rPr>
                <w:rtl w:val="0"/>
              </w:rPr>
            </w:r>
          </w:p>
        </w:tc>
        <w:tc>
          <w:tcPr>
            <w:shd w:fill="dddddd" w:val="clear"/>
          </w:tcPr>
          <w:p w:rsidR="00000000" w:rsidDel="00000000" w:rsidP="00000000" w:rsidRDefault="00000000" w:rsidRPr="00000000" w14:paraId="00000021">
            <w:pPr>
              <w:widowControl w:val="0"/>
              <w:spacing w:after="0" w:line="240" w:lineRule="auto"/>
              <w:rPr>
                <w:color w:val="000000"/>
                <w:sz w:val="16"/>
                <w:szCs w:val="16"/>
              </w:rPr>
            </w:pPr>
            <w:r w:rsidDel="00000000" w:rsidR="00000000" w:rsidRPr="00000000">
              <w:rPr>
                <w:sz w:val="16"/>
                <w:szCs w:val="16"/>
                <w:rtl w:val="0"/>
              </w:rPr>
              <w:t xml:space="preserve">Specification</w:t>
            </w:r>
            <w:r w:rsidDel="00000000" w:rsidR="00000000" w:rsidRPr="00000000">
              <w:rPr>
                <w:rtl w:val="0"/>
              </w:rPr>
            </w:r>
          </w:p>
        </w:tc>
      </w:tr>
      <w:tr>
        <w:trPr>
          <w:cantSplit w:val="0"/>
          <w:trHeight w:val="276" w:hRule="atLeast"/>
          <w:tblHeader w:val="0"/>
        </w:trPr>
        <w:tc>
          <w:tcPr>
            <w:vMerge w:val="restart"/>
            <w:vAlign w:val="center"/>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Sapphire wafers </w:t>
            </w:r>
          </w:p>
        </w:tc>
        <w:tc>
          <w:tcPr>
            <w:vMerge w:val="restart"/>
            <w:tcMar>
              <w:top w:w="55.0" w:type="dxa"/>
              <w:left w:w="55.0" w:type="dxa"/>
              <w:bottom w:w="55.0" w:type="dxa"/>
              <w:right w:w="55.0" w:type="dxa"/>
            </w:tcMar>
            <w:vAlign w:val="center"/>
          </w:tcPr>
          <w:p w:rsidR="00000000" w:rsidDel="00000000" w:rsidP="00000000" w:rsidRDefault="00000000" w:rsidRPr="00000000" w14:paraId="00000023">
            <w:pPr>
              <w:spacing w:after="0" w:line="240" w:lineRule="auto"/>
              <w:rPr/>
            </w:pPr>
            <w:r w:rsidDel="00000000" w:rsidR="00000000" w:rsidRPr="00000000">
              <w:rPr>
                <w:rtl w:val="0"/>
              </w:rPr>
              <w:t xml:space="preserve">Diameter 200 mm +/- 0.1 mm </w:t>
            </w:r>
          </w:p>
          <w:p w:rsidR="00000000" w:rsidDel="00000000" w:rsidP="00000000" w:rsidRDefault="00000000" w:rsidRPr="00000000" w14:paraId="00000024">
            <w:pPr>
              <w:spacing w:after="0" w:line="240" w:lineRule="auto"/>
              <w:rPr>
                <w:b w:val="1"/>
                <w:u w:val="single"/>
              </w:rPr>
            </w:pPr>
            <w:r w:rsidDel="00000000" w:rsidR="00000000" w:rsidRPr="00000000">
              <w:rPr>
                <w:rtl w:val="0"/>
              </w:rPr>
              <w:t xml:space="preserve">Thickness: 1.25 mm +/- 0.1mm </w:t>
            </w: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25">
            <w:pPr>
              <w:spacing w:after="0" w:line="240" w:lineRule="auto"/>
              <w:rPr/>
            </w:pPr>
            <w:r w:rsidDel="00000000" w:rsidR="00000000" w:rsidRPr="00000000">
              <w:rPr>
                <w:rtl w:val="0"/>
              </w:rPr>
              <w:t xml:space="preserve">Growth method</w:t>
            </w:r>
          </w:p>
        </w:tc>
        <w:tc>
          <w:tcPr/>
          <w:p w:rsidR="00000000" w:rsidDel="00000000" w:rsidP="00000000" w:rsidRDefault="00000000" w:rsidRPr="00000000" w14:paraId="00000026">
            <w:pPr>
              <w:spacing w:after="0" w:line="240" w:lineRule="auto"/>
              <w:rPr/>
            </w:pPr>
            <w:r w:rsidDel="00000000" w:rsidR="00000000" w:rsidRPr="00000000">
              <w:rPr>
                <w:rFonts w:ascii="Arial" w:cs="Arial" w:eastAsia="Arial" w:hAnsi="Arial"/>
                <w:color w:val="222222"/>
                <w:highlight w:val="white"/>
                <w:rtl w:val="0"/>
              </w:rPr>
              <w:t xml:space="preserve">Kyropolos</w:t>
            </w:r>
            <w:r w:rsidDel="00000000" w:rsidR="00000000" w:rsidRPr="00000000">
              <w:rPr>
                <w:rtl w:val="0"/>
              </w:rPr>
            </w:r>
          </w:p>
        </w:tc>
      </w:tr>
      <w:tr>
        <w:trPr>
          <w:cantSplit w:val="0"/>
          <w:trHeight w:val="276" w:hRule="atLeast"/>
          <w:tblHeader w:val="0"/>
        </w:trPr>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5.0" w:type="dxa"/>
              <w:left w:w="55.0" w:type="dxa"/>
              <w:bottom w:w="55.0" w:type="dxa"/>
              <w:right w:w="55.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29">
            <w:pPr>
              <w:spacing w:after="0" w:line="240" w:lineRule="auto"/>
              <w:rPr/>
            </w:pPr>
            <w:r w:rsidDel="00000000" w:rsidR="00000000" w:rsidRPr="00000000">
              <w:rPr>
                <w:rtl w:val="0"/>
              </w:rPr>
              <w:t xml:space="preserve">Orientation:</w:t>
            </w:r>
          </w:p>
        </w:tc>
        <w:tc>
          <w:tcPr/>
          <w:p w:rsidR="00000000" w:rsidDel="00000000" w:rsidP="00000000" w:rsidRDefault="00000000" w:rsidRPr="00000000" w14:paraId="0000002A">
            <w:pPr>
              <w:spacing w:after="0" w:line="240" w:lineRule="auto"/>
              <w:rPr/>
            </w:pPr>
            <w:r w:rsidDel="00000000" w:rsidR="00000000" w:rsidRPr="00000000">
              <w:rPr>
                <w:rtl w:val="0"/>
              </w:rPr>
              <w:t xml:space="preserve">C-Plane</w:t>
            </w:r>
            <w:r w:rsidDel="00000000" w:rsidR="00000000" w:rsidRPr="00000000">
              <w:rPr>
                <w:rtl w:val="0"/>
              </w:rPr>
            </w:r>
          </w:p>
        </w:tc>
      </w:tr>
      <w:tr>
        <w:trPr>
          <w:cantSplit w:val="0"/>
          <w:trHeight w:val="276" w:hRule="atLeast"/>
          <w:tblHeader w:val="0"/>
        </w:trPr>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5.0" w:type="dxa"/>
              <w:left w:w="55.0" w:type="dxa"/>
              <w:bottom w:w="55.0" w:type="dxa"/>
              <w:right w:w="55.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2D">
            <w:pPr>
              <w:spacing w:after="0" w:line="240" w:lineRule="auto"/>
              <w:rPr/>
            </w:pPr>
            <w:r w:rsidDel="00000000" w:rsidR="00000000" w:rsidRPr="00000000">
              <w:rPr>
                <w:rtl w:val="0"/>
              </w:rPr>
              <w:t xml:space="preserve">Surface Finish:</w:t>
            </w:r>
          </w:p>
        </w:tc>
        <w:tc>
          <w:tcPr/>
          <w:p w:rsidR="00000000" w:rsidDel="00000000" w:rsidP="00000000" w:rsidRDefault="00000000" w:rsidRPr="00000000" w14:paraId="0000002E">
            <w:pPr>
              <w:spacing w:after="0" w:line="240" w:lineRule="auto"/>
              <w:rPr/>
            </w:pPr>
            <w:r w:rsidDel="00000000" w:rsidR="00000000" w:rsidRPr="00000000">
              <w:rPr>
                <w:rtl w:val="0"/>
              </w:rPr>
              <w:t xml:space="preserve">Front side polished  - quality 40-60</w:t>
            </w:r>
          </w:p>
          <w:p w:rsidR="00000000" w:rsidDel="00000000" w:rsidP="00000000" w:rsidRDefault="00000000" w:rsidRPr="00000000" w14:paraId="0000002F">
            <w:pPr>
              <w:spacing w:after="0" w:line="240" w:lineRule="auto"/>
              <w:rPr/>
            </w:pPr>
            <w:r w:rsidDel="00000000" w:rsidR="00000000" w:rsidRPr="00000000">
              <w:rPr>
                <w:rtl w:val="0"/>
              </w:rPr>
              <w:t xml:space="preserve">Back side as lapped</w:t>
            </w:r>
          </w:p>
        </w:tc>
      </w:tr>
    </w:tbl>
    <w:p w:rsidR="00000000" w:rsidDel="00000000" w:rsidP="00000000" w:rsidRDefault="00000000" w:rsidRPr="00000000" w14:paraId="00000030">
      <w:pPr>
        <w:spacing w:after="0" w:line="360" w:lineRule="auto"/>
        <w:rPr/>
      </w:pPr>
      <w:r w:rsidDel="00000000" w:rsidR="00000000" w:rsidRPr="00000000">
        <w:rPr>
          <w:rtl w:val="0"/>
        </w:rPr>
      </w:r>
    </w:p>
    <w:p w:rsidR="00000000" w:rsidDel="00000000" w:rsidP="00000000" w:rsidRDefault="00000000" w:rsidRPr="00000000" w14:paraId="00000031">
      <w:pPr>
        <w:spacing w:after="0" w:line="36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spacing w:after="160" w:line="259" w:lineRule="auto"/>
      <w:jc w:val="center"/>
      <w:rPr>
        <w:color w:val="000000"/>
      </w:rPr>
    </w:pPr>
    <w:r w:rsidDel="00000000" w:rsidR="00000000" w:rsidRPr="00000000">
      <w:rPr>
        <w:b w:val="1"/>
        <w:sz w:val="28"/>
        <w:szCs w:val="28"/>
      </w:rPr>
      <w:drawing>
        <wp:inline distB="0" distT="0" distL="0" distR="0">
          <wp:extent cx="5760720" cy="67754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720" cy="67754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rFonts w:ascii="Calibri" w:cs="Calibri" w:eastAsia="Calibri" w:hAnsi="Calibri"/>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28.0" w:type="dxa"/>
        <w:left w:w="70.0" w:type="dxa"/>
        <w:bottom w:w="28.0" w:type="dxa"/>
        <w:right w:w="70.0" w:type="dxa"/>
      </w:tblCellMar>
    </w:tblPr>
  </w:style>
  <w:style w:type="table" w:styleId="a0" w:customStyle="1">
    <w:basedOn w:val="TableNormal"/>
    <w:tblPr>
      <w:tblStyleRowBandSize w:val="1"/>
      <w:tblStyleColBandSize w:val="1"/>
      <w:tblCellMar>
        <w:top w:w="28.0" w:type="dxa"/>
        <w:left w:w="70.0" w:type="dxa"/>
        <w:bottom w:w="28.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70.0" w:type="dxa"/>
        <w:bottom w:w="28.0" w:type="dxa"/>
        <w:right w:w="70.0" w:type="dxa"/>
      </w:tblCellMar>
    </w:tblPr>
  </w:style>
  <w:style w:type="table" w:styleId="Table2">
    <w:basedOn w:val="TableNormal"/>
    <w:tblPr>
      <w:tblStyleRowBandSize w:val="1"/>
      <w:tblStyleColBandSize w:val="1"/>
      <w:tblCellMar>
        <w:top w:w="28.0" w:type="dxa"/>
        <w:left w:w="70.0" w:type="dxa"/>
        <w:bottom w:w="28.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28.0" w:type="dxa"/>
        <w:left w:w="70.0" w:type="dxa"/>
        <w:bottom w:w="28.0" w:type="dxa"/>
        <w:right w:w="70.0" w:type="dxa"/>
      </w:tblCellMar>
    </w:tblPr>
  </w:style>
  <w:style w:type="table" w:styleId="Table2">
    <w:basedOn w:val="TableNormal"/>
    <w:tblPr>
      <w:tblStyleRowBandSize w:val="1"/>
      <w:tblStyleColBandSize w:val="1"/>
      <w:tblCellMar>
        <w:top w:w="28.0" w:type="dxa"/>
        <w:left w:w="70.0" w:type="dxa"/>
        <w:bottom w:w="28.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KcsO3cERr4ymK3AE/Z4WyAFbfA==">AMUW2mXIchxLST8I4z4kjtzgR2TUY000nGAyGYI7v/JT1IohHyYuZA4QqhLL4/clI2lkXoFFnGjMyeySGFfhp9wARTq5Io78uwYLkDXOnckRtuWc2p9CSaUhOcQF5UX2sJc1XKD79Ps4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2020-10-16T19:03:00Z</dcterms:created>
  <dc:creator>Dominik Nowak</dc:creator>
</cp:coreProperties>
</file>