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ind w:left="0" w:hanging="2"/>
        <w:jc w:val="right"/>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[place], on  ………..[•] year</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rPr>
      </w:pPr>
      <w:r w:rsidDel="00000000" w:rsidR="00000000" w:rsidRPr="00000000">
        <w:rPr>
          <w:rtl w:val="0"/>
        </w:rPr>
      </w:r>
    </w:p>
    <w:tbl>
      <w:tblPr>
        <w:tblStyle w:val="Table1"/>
        <w:tblW w:w="4194.0" w:type="dxa"/>
        <w:jc w:val="left"/>
        <w:tblInd w:w="0.0" w:type="dxa"/>
        <w:tblLayout w:type="fixed"/>
        <w:tblLook w:val="0000"/>
      </w:tblPr>
      <w:tblGrid>
        <w:gridCol w:w="4194"/>
        <w:tblGridChange w:id="0">
          <w:tblGrid>
            <w:gridCol w:w="4194"/>
          </w:tblGrid>
        </w:tblGridChange>
      </w:tblGrid>
      <w:tr>
        <w:trPr>
          <w:cantSplit w:val="0"/>
          <w:trHeight w:val="2823" w:hRule="atLeast"/>
          <w:tblHeader w:val="0"/>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90" w:lineRule="auto"/>
              <w:ind w:left="0" w:hanging="2"/>
              <w:jc w:val="both"/>
              <w:rPr>
                <w:rFonts w:ascii="Open Sans" w:cs="Open Sans" w:eastAsia="Open Sans" w:hAnsi="Open Sans"/>
                <w:color w:val="000000"/>
                <w:sz w:val="22"/>
                <w:szCs w:val="22"/>
                <w:u w:val="single"/>
              </w:rPr>
            </w:pPr>
            <w:r w:rsidDel="00000000" w:rsidR="00000000" w:rsidRPr="00000000">
              <w:rPr>
                <w:rFonts w:ascii="Open Sans" w:cs="Open Sans" w:eastAsia="Open Sans" w:hAnsi="Open Sans"/>
                <w:color w:val="000000"/>
                <w:sz w:val="22"/>
                <w:szCs w:val="22"/>
                <w:u w:val="single"/>
                <w:rtl w:val="0"/>
              </w:rPr>
              <w:t xml:space="preserve">Performer:</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u w:val="single"/>
                <w:rtl w:val="0"/>
              </w:rPr>
              <w:t xml:space="preserve">[Name / address / registry court / KRS number / NIP / REGON / contact person / e-mail address / phone </w:t>
            </w:r>
            <w:r w:rsidDel="00000000" w:rsidR="00000000" w:rsidRPr="00000000">
              <w:rPr>
                <w:rFonts w:ascii="Open Sans" w:cs="Open Sans" w:eastAsia="Open Sans" w:hAnsi="Open Sans"/>
                <w:color w:val="000000"/>
                <w:sz w:val="22"/>
                <w:szCs w:val="22"/>
                <w:rtl w:val="0"/>
              </w:rPr>
              <w:t xml:space="preserve">]</w:t>
            </w:r>
          </w:p>
        </w:tc>
      </w:tr>
    </w:tbl>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60" w:before="240" w:line="240" w:lineRule="auto"/>
        <w:ind w:left="0" w:hanging="2"/>
        <w:jc w:val="both"/>
        <w:rPr>
          <w:rFonts w:ascii="Open Sans" w:cs="Open Sans" w:eastAsia="Open Sans" w:hAnsi="Open Sans"/>
          <w:b w:val="1"/>
          <w:color w:val="000000"/>
          <w:sz w:val="32"/>
          <w:szCs w:val="32"/>
        </w:rPr>
      </w:pPr>
      <w:r w:rsidDel="00000000" w:rsidR="00000000" w:rsidRPr="00000000">
        <w:rPr>
          <w:rFonts w:ascii="Open Sans" w:cs="Open Sans" w:eastAsia="Open Sans" w:hAnsi="Open Sans"/>
          <w:color w:val="000000"/>
          <w:sz w:val="22"/>
          <w:szCs w:val="22"/>
          <w:rtl w:val="0"/>
        </w:rPr>
        <w:t xml:space="preserve">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60" w:before="240" w:line="240" w:lineRule="auto"/>
        <w:ind w:left="1" w:hanging="3"/>
        <w:jc w:val="center"/>
        <w:rPr>
          <w:rFonts w:ascii="Open Sans" w:cs="Open Sans" w:eastAsia="Open Sans" w:hAnsi="Open Sans"/>
          <w:b w:val="1"/>
          <w:color w:val="000000"/>
          <w:sz w:val="28"/>
          <w:szCs w:val="28"/>
        </w:rPr>
      </w:pPr>
      <w:r w:rsidDel="00000000" w:rsidR="00000000" w:rsidRPr="00000000">
        <w:rPr>
          <w:rFonts w:ascii="Open Sans" w:cs="Open Sans" w:eastAsia="Open Sans" w:hAnsi="Open Sans"/>
          <w:b w:val="1"/>
          <w:color w:val="000000"/>
          <w:sz w:val="28"/>
          <w:szCs w:val="28"/>
          <w:rtl w:val="0"/>
        </w:rPr>
        <w:t xml:space="preserve">OFFER FORM</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60" w:before="240" w:line="240" w:lineRule="auto"/>
        <w:ind w:left="1" w:hanging="3"/>
        <w:jc w:val="center"/>
        <w:rPr>
          <w:rFonts w:ascii="Open Sans" w:cs="Open Sans" w:eastAsia="Open Sans" w:hAnsi="Open Sans"/>
          <w:b w:val="1"/>
          <w:sz w:val="28"/>
          <w:szCs w:val="28"/>
        </w:rPr>
      </w:pPr>
      <w:r w:rsidDel="00000000" w:rsidR="00000000" w:rsidRPr="00000000">
        <w:rPr>
          <w:rFonts w:ascii="Open Sans" w:cs="Open Sans" w:eastAsia="Open Sans" w:hAnsi="Open Sans"/>
          <w:b w:val="1"/>
          <w:color w:val="000000"/>
          <w:sz w:val="28"/>
          <w:szCs w:val="28"/>
          <w:rtl w:val="0"/>
        </w:rPr>
        <w:t xml:space="preserve">FOR REQUEST FOR QUOTATION FROM THE DAY </w:t>
      </w:r>
      <w:r w:rsidDel="00000000" w:rsidR="00000000" w:rsidRPr="00000000">
        <w:rPr>
          <w:rFonts w:ascii="Open Sans" w:cs="Open Sans" w:eastAsia="Open Sans" w:hAnsi="Open Sans"/>
          <w:b w:val="1"/>
          <w:sz w:val="28"/>
          <w:szCs w:val="28"/>
          <w:rtl w:val="0"/>
        </w:rPr>
        <w:t xml:space="preserve">27 JANUARY 2022 </w:t>
      </w:r>
      <w:r w:rsidDel="00000000" w:rsidR="00000000" w:rsidRPr="00000000">
        <w:rPr>
          <w:rFonts w:ascii="Open Sans" w:cs="Open Sans" w:eastAsia="Open Sans" w:hAnsi="Open Sans"/>
          <w:b w:val="1"/>
          <w:color w:val="000000"/>
          <w:sz w:val="28"/>
          <w:szCs w:val="28"/>
          <w:rtl w:val="0"/>
        </w:rPr>
        <w:t xml:space="preserve">NUMBER </w:t>
      </w:r>
      <w:r w:rsidDel="00000000" w:rsidR="00000000" w:rsidRPr="00000000">
        <w:rPr>
          <w:rFonts w:ascii="Open Sans" w:cs="Open Sans" w:eastAsia="Open Sans" w:hAnsi="Open Sans"/>
          <w:b w:val="1"/>
          <w:sz w:val="28"/>
          <w:szCs w:val="28"/>
          <w:rtl w:val="0"/>
        </w:rPr>
        <w:t xml:space="preserve">TMS-MRP/4</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60" w:before="240" w:line="24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w:t>
      </w:r>
      <w:r w:rsidDel="00000000" w:rsidR="00000000" w:rsidRPr="00000000">
        <w:rPr>
          <w:rFonts w:ascii="Open Sans" w:cs="Open Sans" w:eastAsia="Open Sans" w:hAnsi="Open Sans"/>
          <w:color w:val="000000"/>
          <w:rtl w:val="0"/>
        </w:rPr>
        <w:t xml:space="preserve">, the undersigned …………………… [•], acting as …………………… [•] (hereinafter referred to as: "Contractor"), in response to the request for proposal of </w:t>
      </w:r>
      <w:r w:rsidDel="00000000" w:rsidR="00000000" w:rsidRPr="00000000">
        <w:rPr>
          <w:rFonts w:ascii="Open Sans" w:cs="Open Sans" w:eastAsia="Open Sans" w:hAnsi="Open Sans"/>
          <w:rtl w:val="0"/>
        </w:rPr>
        <w:t xml:space="preserve">27 January 2022</w:t>
      </w:r>
      <w:r w:rsidDel="00000000" w:rsidR="00000000" w:rsidRPr="00000000">
        <w:rPr>
          <w:rFonts w:ascii="Open Sans" w:cs="Open Sans" w:eastAsia="Open Sans" w:hAnsi="Open Sans"/>
          <w:color w:val="000000"/>
          <w:rtl w:val="0"/>
        </w:rPr>
        <w:t xml:space="preserve"> number </w:t>
      </w:r>
      <w:r w:rsidDel="00000000" w:rsidR="00000000" w:rsidRPr="00000000">
        <w:rPr>
          <w:rFonts w:ascii="Open Sans" w:cs="Open Sans" w:eastAsia="Open Sans" w:hAnsi="Open Sans"/>
          <w:rtl w:val="0"/>
        </w:rPr>
        <w:t xml:space="preserve">TMS-MRP/4 </w:t>
      </w:r>
      <w:r w:rsidDel="00000000" w:rsidR="00000000" w:rsidRPr="00000000">
        <w:rPr>
          <w:rFonts w:ascii="Open Sans" w:cs="Open Sans" w:eastAsia="Open Sans" w:hAnsi="Open Sans"/>
          <w:color w:val="000000"/>
          <w:rtl w:val="0"/>
        </w:rPr>
        <w:t xml:space="preserve">(hereinafter: "Offer Request"), hereby I submit an offer</w:t>
      </w:r>
      <w:r w:rsidDel="00000000" w:rsidR="00000000" w:rsidRPr="00000000">
        <w:rPr>
          <w:rFonts w:ascii="Open Sans" w:cs="Open Sans" w:eastAsia="Open Sans" w:hAnsi="Open Sans"/>
          <w:rtl w:val="0"/>
        </w:rPr>
        <w:t xml:space="preserve">- thermoelectric cooler</w:t>
      </w:r>
      <w:r w:rsidDel="00000000" w:rsidR="00000000" w:rsidRPr="00000000">
        <w:rPr>
          <w:rFonts w:ascii="Open Sans" w:cs="Open Sans" w:eastAsia="Open Sans" w:hAnsi="Open Sans"/>
          <w:color w:val="000000"/>
          <w:rtl w:val="0"/>
        </w:rPr>
        <w:t xml:space="preserve"> (hereinafter referred to as the "Order") for the comprehensive implementation by VIGO System Spółka Akcyjna with headquarters in Ożarów Mazowiecki (hereinafter referred to as the "Ordering Party") of the project called </w:t>
      </w:r>
      <w:r w:rsidDel="00000000" w:rsidR="00000000" w:rsidRPr="00000000">
        <w:rPr>
          <w:rFonts w:ascii="Open Sans" w:cs="Open Sans" w:eastAsia="Open Sans" w:hAnsi="Open Sans"/>
          <w:rtl w:val="0"/>
        </w:rPr>
        <w:t xml:space="preserve">“Integrated photonics chip technologies for the mid-infrared range (acronym; MIRPIC)”. Contract No TECHMATSTRATEG-III/0026/2019-0 with the National Center for Research and Development.</w:t>
      </w:r>
      <w:r w:rsidDel="00000000" w:rsidR="00000000" w:rsidRPr="00000000">
        <w:rPr>
          <w:rtl w:val="0"/>
        </w:rPr>
      </w:r>
    </w:p>
    <w:p w:rsidR="00000000" w:rsidDel="00000000" w:rsidP="00000000" w:rsidRDefault="00000000" w:rsidRPr="00000000" w14:paraId="00000009">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highlight w:val="lightGray"/>
        </w:rPr>
      </w:pPr>
      <w:r w:rsidDel="00000000" w:rsidR="00000000" w:rsidRPr="00000000">
        <w:rPr>
          <w:rFonts w:ascii="Open Sans" w:cs="Open Sans" w:eastAsia="Open Sans" w:hAnsi="Open Sans"/>
          <w:b w:val="1"/>
          <w:color w:val="000000"/>
          <w:highlight w:val="lightGray"/>
          <w:rtl w:val="0"/>
        </w:rPr>
        <w:t xml:space="preserve">Offered price of the subject of the Order</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Net price: …………………… [•] (in words: …………………… [•]).</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Gross price: …………………… [•] (in words: …………………… [•]).</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Value of VAT: …………………… [•] (in words: ……………………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b w:val="1"/>
          <w:color w:val="000000"/>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b w:val="1"/>
          <w:color w:val="000000"/>
          <w:sz w:val="22"/>
          <w:szCs w:val="22"/>
          <w:u w:val="single"/>
        </w:rPr>
      </w:pPr>
      <w:bookmarkStart w:colFirst="0" w:colLast="0" w:name="_heading=h.gjdgxs" w:id="0"/>
      <w:bookmarkEnd w:id="0"/>
      <w:r w:rsidDel="00000000" w:rsidR="00000000" w:rsidRPr="00000000">
        <w:rPr>
          <w:rFonts w:ascii="Open Sans" w:cs="Open Sans" w:eastAsia="Open Sans" w:hAnsi="Open Sans"/>
          <w:b w:val="1"/>
          <w:color w:val="000000"/>
          <w:sz w:val="22"/>
          <w:szCs w:val="22"/>
          <w:u w:val="single"/>
          <w:rtl w:val="0"/>
        </w:rPr>
        <w:t xml:space="preserve">The description of the offer constitutes an attachment to the offer.</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b w:val="1"/>
          <w:color w:val="000000"/>
          <w:sz w:val="22"/>
          <w:szCs w:val="22"/>
        </w:rPr>
      </w:pPr>
      <w:r w:rsidDel="00000000" w:rsidR="00000000" w:rsidRPr="00000000">
        <w:rPr>
          <w:rtl w:val="0"/>
        </w:rPr>
      </w:r>
    </w:p>
    <w:p w:rsidR="00000000" w:rsidDel="00000000" w:rsidP="00000000" w:rsidRDefault="00000000" w:rsidRPr="00000000" w14:paraId="00000010">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rPr>
      </w:pPr>
      <w:r w:rsidDel="00000000" w:rsidR="00000000" w:rsidRPr="00000000">
        <w:rPr>
          <w:rFonts w:ascii="Open Sans" w:cs="Open Sans" w:eastAsia="Open Sans" w:hAnsi="Open Sans"/>
          <w:rtl w:val="0"/>
        </w:rPr>
        <w:t xml:space="preserve">Compatibility table (to be completed in the free fields):</w:t>
      </w:r>
    </w:p>
    <w:p w:rsidR="00000000" w:rsidDel="00000000" w:rsidP="00000000" w:rsidRDefault="00000000" w:rsidRPr="00000000" w14:paraId="00000011">
      <w:pPr>
        <w:spacing w:line="360" w:lineRule="auto"/>
        <w:ind w:left="360" w:firstLine="0"/>
        <w:rPr>
          <w:rFonts w:ascii="Open Sans" w:cs="Open Sans" w:eastAsia="Open Sans" w:hAnsi="Open Sans"/>
          <w:b w:val="1"/>
          <w:sz w:val="22"/>
          <w:szCs w:val="22"/>
          <w:u w:val="single"/>
        </w:rPr>
      </w:pPr>
      <w:r w:rsidDel="00000000" w:rsidR="00000000" w:rsidRPr="00000000">
        <w:rPr>
          <w:rtl w:val="0"/>
        </w:rPr>
      </w:r>
    </w:p>
    <w:tbl>
      <w:tblPr>
        <w:tblStyle w:val="Table2"/>
        <w:tblW w:w="9900.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4.3266171792152"/>
        <w:gridCol w:w="1322.7995758218453"/>
        <w:gridCol w:w="1490.7741251325556"/>
        <w:gridCol w:w="2971.049840933192"/>
        <w:gridCol w:w="2971.049840933192"/>
        <w:tblGridChange w:id="0">
          <w:tblGrid>
            <w:gridCol w:w="1144.3266171792152"/>
            <w:gridCol w:w="1322.7995758218453"/>
            <w:gridCol w:w="1490.7741251325556"/>
            <w:gridCol w:w="2971.049840933192"/>
            <w:gridCol w:w="2971.049840933192"/>
          </w:tblGrid>
        </w:tblGridChange>
      </w:tblGrid>
      <w:tr>
        <w:trPr>
          <w:cantSplit w:val="0"/>
          <w:trHeight w:val="15" w:hRule="atLeast"/>
          <w:tblHeader w:val="0"/>
        </w:trPr>
        <w:tc>
          <w:tcPr>
            <w:gridSpan w:val="2"/>
            <w:shd w:fill="dddddd" w:val="clear"/>
            <w:vAlign w:val="center"/>
          </w:tcPr>
          <w:p w:rsidR="00000000" w:rsidDel="00000000" w:rsidP="00000000" w:rsidRDefault="00000000" w:rsidRPr="00000000" w14:paraId="00000012">
            <w:pPr>
              <w:widowControl w:val="0"/>
              <w:ind w:firstLine="0"/>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14">
            <w:pPr>
              <w:widowControl w:val="0"/>
              <w:ind w:firstLine="0"/>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Parameter</w:t>
            </w:r>
          </w:p>
        </w:tc>
        <w:tc>
          <w:tcPr>
            <w:shd w:fill="dddddd" w:val="clear"/>
          </w:tcPr>
          <w:p w:rsidR="00000000" w:rsidDel="00000000" w:rsidP="00000000" w:rsidRDefault="00000000" w:rsidRPr="00000000" w14:paraId="00000015">
            <w:pPr>
              <w:widowControl w:val="0"/>
              <w:ind w:firstLine="0"/>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Specification</w:t>
            </w:r>
          </w:p>
        </w:tc>
        <w:tc>
          <w:tcPr>
            <w:shd w:fill="dddddd" w:val="clear"/>
          </w:tcPr>
          <w:p w:rsidR="00000000" w:rsidDel="00000000" w:rsidP="00000000" w:rsidRDefault="00000000" w:rsidRPr="00000000" w14:paraId="00000016">
            <w:pPr>
              <w:widowControl w:val="0"/>
              <w:ind w:left="0" w:firstLine="0"/>
              <w:jc w:val="center"/>
              <w:rPr>
                <w:rFonts w:ascii="Open Sans" w:cs="Open Sans" w:eastAsia="Open Sans" w:hAnsi="Open Sans"/>
                <w:b w:val="1"/>
                <w:sz w:val="26"/>
                <w:szCs w:val="26"/>
              </w:rPr>
            </w:pPr>
            <w:r w:rsidDel="00000000" w:rsidR="00000000" w:rsidRPr="00000000">
              <w:rPr>
                <w:rFonts w:ascii="Open Sans" w:cs="Open Sans" w:eastAsia="Open Sans" w:hAnsi="Open Sans"/>
                <w:b w:val="1"/>
                <w:sz w:val="22"/>
                <w:szCs w:val="22"/>
                <w:rtl w:val="0"/>
              </w:rPr>
              <w:t xml:space="preserve">has / does not have; yes / </w:t>
            </w:r>
            <w:r w:rsidDel="00000000" w:rsidR="00000000" w:rsidRPr="00000000">
              <w:rPr>
                <w:rFonts w:ascii="Open Sans" w:cs="Open Sans" w:eastAsia="Open Sans" w:hAnsi="Open Sans"/>
                <w:b w:val="1"/>
                <w:sz w:val="20"/>
                <w:szCs w:val="20"/>
                <w:rtl w:val="0"/>
              </w:rPr>
              <w:t xml:space="preserve">no</w:t>
            </w:r>
            <w:r w:rsidDel="00000000" w:rsidR="00000000" w:rsidRPr="00000000">
              <w:rPr>
                <w:rtl w:val="0"/>
              </w:rPr>
            </w:r>
          </w:p>
        </w:tc>
      </w:tr>
      <w:tr>
        <w:trPr>
          <w:cantSplit w:val="0"/>
          <w:trHeight w:val="20" w:hRule="atLeast"/>
          <w:tblHeader w:val="0"/>
        </w:trPr>
        <w:tc>
          <w:tcPr>
            <w:vMerge w:val="restart"/>
            <w:vAlign w:val="center"/>
          </w:tcPr>
          <w:p w:rsidR="00000000" w:rsidDel="00000000" w:rsidP="00000000" w:rsidRDefault="00000000" w:rsidRPr="00000000" w14:paraId="00000017">
            <w:pPr>
              <w:ind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Thermoelectric cooler 3TE on TO8 – 12 pin – 3MD06-071-10</w:t>
            </w:r>
          </w:p>
        </w:tc>
        <w:tc>
          <w:tcPr>
            <w:vMerge w:val="restart"/>
            <w:tcMar>
              <w:top w:w="55.0" w:type="dxa"/>
              <w:left w:w="55.0" w:type="dxa"/>
              <w:bottom w:w="55.0" w:type="dxa"/>
              <w:right w:w="55.0" w:type="dxa"/>
            </w:tcMar>
            <w:vAlign w:val="center"/>
          </w:tcPr>
          <w:p w:rsidR="00000000" w:rsidDel="00000000" w:rsidP="00000000" w:rsidRDefault="00000000" w:rsidRPr="00000000" w14:paraId="00000018">
            <w:pPr>
              <w:widowControl w:val="0"/>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Cooler Parameters (measurement conditions - 300 K, vacuum)</w:t>
            </w:r>
          </w:p>
        </w:tc>
        <w:tc>
          <w:tcPr>
            <w:tcMar>
              <w:top w:w="55.0" w:type="dxa"/>
              <w:left w:w="55.0" w:type="dxa"/>
              <w:bottom w:w="55.0" w:type="dxa"/>
              <w:right w:w="55.0" w:type="dxa"/>
            </w:tcMar>
          </w:tcPr>
          <w:p w:rsidR="00000000" w:rsidDel="00000000" w:rsidP="00000000" w:rsidRDefault="00000000" w:rsidRPr="00000000" w14:paraId="00000019">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Ceramics material</w:t>
            </w:r>
          </w:p>
        </w:tc>
        <w:tc>
          <w:tcPr/>
          <w:p w:rsidR="00000000" w:rsidDel="00000000" w:rsidP="00000000" w:rsidRDefault="00000000" w:rsidRPr="00000000" w14:paraId="0000001A">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Al2O3, top ceramics of the cooler polished</w:t>
            </w:r>
          </w:p>
        </w:tc>
        <w:tc>
          <w:tcPr/>
          <w:p w:rsidR="00000000" w:rsidDel="00000000" w:rsidP="00000000" w:rsidRDefault="00000000" w:rsidRPr="00000000" w14:paraId="0000001B">
            <w:pPr>
              <w:ind w:firstLine="0"/>
              <w:rPr>
                <w:rFonts w:ascii="Open Sans" w:cs="Open Sans" w:eastAsia="Open Sans" w:hAnsi="Open Sans"/>
                <w:sz w:val="22"/>
                <w:szCs w:val="2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1C">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1D">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1E">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Assembly of the TEC</w:t>
            </w:r>
          </w:p>
        </w:tc>
        <w:tc>
          <w:tcPr/>
          <w:p w:rsidR="00000000" w:rsidDel="00000000" w:rsidP="00000000" w:rsidRDefault="00000000" w:rsidRPr="00000000" w14:paraId="0000001F">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RoHS lead-free solder </w:t>
            </w:r>
          </w:p>
          <w:p w:rsidR="00000000" w:rsidDel="00000000" w:rsidP="00000000" w:rsidRDefault="00000000" w:rsidRPr="00000000" w14:paraId="00000020">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Tmelt (melting temperature) not lower than 230 ° C</w:t>
            </w:r>
          </w:p>
        </w:tc>
        <w:tc>
          <w:tcPr/>
          <w:p w:rsidR="00000000" w:rsidDel="00000000" w:rsidP="00000000" w:rsidRDefault="00000000" w:rsidRPr="00000000" w14:paraId="00000021">
            <w:pPr>
              <w:ind w:firstLine="0"/>
              <w:rPr>
                <w:rFonts w:ascii="Open Sans" w:cs="Open Sans" w:eastAsia="Open Sans" w:hAnsi="Open Sans"/>
                <w:sz w:val="22"/>
                <w:szCs w:val="22"/>
              </w:rPr>
            </w:pPr>
            <w:r w:rsidDel="00000000" w:rsidR="00000000" w:rsidRPr="00000000">
              <w:rPr>
                <w:rtl w:val="0"/>
              </w:rPr>
            </w:r>
          </w:p>
        </w:tc>
      </w:tr>
      <w:tr>
        <w:trPr>
          <w:cantSplit w:val="0"/>
          <w:trHeight w:val="454" w:hRule="atLeast"/>
          <w:tblHeader w:val="0"/>
        </w:trPr>
        <w:tc>
          <w:tcPr>
            <w:vMerge w:val="continue"/>
            <w:vAlign w:val="center"/>
          </w:tcPr>
          <w:p w:rsidR="00000000" w:rsidDel="00000000" w:rsidP="00000000" w:rsidRDefault="00000000" w:rsidRPr="00000000" w14:paraId="00000022">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23">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4">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Electrical connections of the cooler</w:t>
            </w:r>
          </w:p>
        </w:tc>
        <w:tc>
          <w:tcPr/>
          <w:p w:rsidR="00000000" w:rsidDel="00000000" w:rsidP="00000000" w:rsidRDefault="00000000" w:rsidRPr="00000000" w14:paraId="00000025">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One uninsulated AWG-30 wire soldered per each terminal of the TEC</w:t>
            </w:r>
          </w:p>
        </w:tc>
        <w:tc>
          <w:tcPr/>
          <w:p w:rsidR="00000000" w:rsidDel="00000000" w:rsidP="00000000" w:rsidRDefault="00000000" w:rsidRPr="00000000" w14:paraId="00000026">
            <w:pPr>
              <w:ind w:firstLine="0"/>
              <w:rPr>
                <w:rFonts w:ascii="Open Sans" w:cs="Open Sans" w:eastAsia="Open Sans" w:hAnsi="Open Sans"/>
                <w:sz w:val="22"/>
                <w:szCs w:val="22"/>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27">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28">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9">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Top stage dimensions</w:t>
            </w:r>
          </w:p>
        </w:tc>
        <w:tc>
          <w:tcPr/>
          <w:p w:rsidR="00000000" w:rsidDel="00000000" w:rsidP="00000000" w:rsidRDefault="00000000" w:rsidRPr="00000000" w14:paraId="0000002A">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3,4±0,1 mm x 3,4±0,1 mm</w:t>
            </w:r>
          </w:p>
        </w:tc>
        <w:tc>
          <w:tcPr/>
          <w:p w:rsidR="00000000" w:rsidDel="00000000" w:rsidP="00000000" w:rsidRDefault="00000000" w:rsidRPr="00000000" w14:paraId="0000002B">
            <w:pPr>
              <w:ind w:firstLine="0"/>
              <w:rPr>
                <w:rFonts w:ascii="Open Sans" w:cs="Open Sans" w:eastAsia="Open Sans" w:hAnsi="Open Sans"/>
                <w:sz w:val="22"/>
                <w:szCs w:val="2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2C">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2D">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E">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Bottom stage dimensions </w:t>
            </w:r>
          </w:p>
        </w:tc>
        <w:tc>
          <w:tcPr/>
          <w:p w:rsidR="00000000" w:rsidDel="00000000" w:rsidP="00000000" w:rsidRDefault="00000000" w:rsidRPr="00000000" w14:paraId="0000002F">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8±0,1 mm x 8±0,1 mm</w:t>
            </w:r>
          </w:p>
        </w:tc>
        <w:tc>
          <w:tcPr/>
          <w:p w:rsidR="00000000" w:rsidDel="00000000" w:rsidP="00000000" w:rsidRDefault="00000000" w:rsidRPr="00000000" w14:paraId="00000030">
            <w:pPr>
              <w:ind w:firstLine="0"/>
              <w:rPr>
                <w:rFonts w:ascii="Open Sans" w:cs="Open Sans" w:eastAsia="Open Sans" w:hAnsi="Open Sans"/>
                <w:sz w:val="22"/>
                <w:szCs w:val="2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31">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2">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3">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Height of the cooler</w:t>
            </w:r>
          </w:p>
        </w:tc>
        <w:tc>
          <w:tcPr/>
          <w:p w:rsidR="00000000" w:rsidDel="00000000" w:rsidP="00000000" w:rsidRDefault="00000000" w:rsidRPr="00000000" w14:paraId="00000034">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5,3±0,15 mm</w:t>
            </w:r>
          </w:p>
        </w:tc>
        <w:tc>
          <w:tcPr/>
          <w:p w:rsidR="00000000" w:rsidDel="00000000" w:rsidP="00000000" w:rsidRDefault="00000000" w:rsidRPr="00000000" w14:paraId="00000035">
            <w:pPr>
              <w:ind w:firstLine="0"/>
              <w:rPr>
                <w:rFonts w:ascii="Open Sans" w:cs="Open Sans" w:eastAsia="Open Sans" w:hAnsi="Open Sans"/>
                <w:sz w:val="22"/>
                <w:szCs w:val="22"/>
              </w:rPr>
            </w:pPr>
            <w:r w:rsidDel="00000000" w:rsidR="00000000" w:rsidRPr="00000000">
              <w:rPr>
                <w:rtl w:val="0"/>
              </w:rPr>
            </w:r>
          </w:p>
        </w:tc>
      </w:tr>
      <w:tr>
        <w:trPr>
          <w:cantSplit w:val="0"/>
          <w:trHeight w:val="89" w:hRule="atLeast"/>
          <w:tblHeader w:val="0"/>
        </w:trPr>
        <w:tc>
          <w:tcPr>
            <w:vMerge w:val="continue"/>
            <w:vAlign w:val="center"/>
          </w:tcPr>
          <w:p w:rsidR="00000000" w:rsidDel="00000000" w:rsidP="00000000" w:rsidRDefault="00000000" w:rsidRPr="00000000" w14:paraId="00000036">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7">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8">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ΔTmax K (measurement in a vacuum, 300K)</w:t>
            </w:r>
          </w:p>
        </w:tc>
        <w:tc>
          <w:tcPr/>
          <w:p w:rsidR="00000000" w:rsidDel="00000000" w:rsidP="00000000" w:rsidRDefault="00000000" w:rsidRPr="00000000" w14:paraId="00000039">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Not less than 118 K</w:t>
            </w:r>
          </w:p>
        </w:tc>
        <w:tc>
          <w:tcPr/>
          <w:p w:rsidR="00000000" w:rsidDel="00000000" w:rsidP="00000000" w:rsidRDefault="00000000" w:rsidRPr="00000000" w14:paraId="0000003A">
            <w:pPr>
              <w:ind w:firstLine="0"/>
              <w:rPr>
                <w:rFonts w:ascii="Open Sans" w:cs="Open Sans" w:eastAsia="Open Sans" w:hAnsi="Open Sans"/>
                <w:sz w:val="22"/>
                <w:szCs w:val="2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3B">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C">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D">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Qmax W</w:t>
            </w:r>
          </w:p>
          <w:p w:rsidR="00000000" w:rsidDel="00000000" w:rsidP="00000000" w:rsidRDefault="00000000" w:rsidRPr="00000000" w14:paraId="0000003E">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(measurement in vacuum, 300K)</w:t>
            </w:r>
          </w:p>
        </w:tc>
        <w:tc>
          <w:tcPr/>
          <w:p w:rsidR="00000000" w:rsidDel="00000000" w:rsidP="00000000" w:rsidRDefault="00000000" w:rsidRPr="00000000" w14:paraId="0000003F">
            <w:pPr>
              <w:ind w:hanging="2"/>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Not less than 0,94 W</w:t>
            </w:r>
          </w:p>
        </w:tc>
        <w:tc>
          <w:tcPr/>
          <w:p w:rsidR="00000000" w:rsidDel="00000000" w:rsidP="00000000" w:rsidRDefault="00000000" w:rsidRPr="00000000" w14:paraId="00000040">
            <w:pPr>
              <w:ind w:hanging="2"/>
              <w:rPr>
                <w:rFonts w:ascii="Open Sans" w:cs="Open Sans" w:eastAsia="Open Sans" w:hAnsi="Open Sans"/>
                <w:sz w:val="22"/>
                <w:szCs w:val="2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041">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42">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3">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Imax A</w:t>
            </w:r>
          </w:p>
          <w:p w:rsidR="00000000" w:rsidDel="00000000" w:rsidP="00000000" w:rsidRDefault="00000000" w:rsidRPr="00000000" w14:paraId="00000044">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Umax V (measurement in vacuum, 300K)</w:t>
            </w:r>
          </w:p>
        </w:tc>
        <w:tc>
          <w:tcPr/>
          <w:p w:rsidR="00000000" w:rsidDel="00000000" w:rsidP="00000000" w:rsidRDefault="00000000" w:rsidRPr="00000000" w14:paraId="00000045">
            <w:pPr>
              <w:spacing w:line="276" w:lineRule="auto"/>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1,25±0,06 A </w:t>
            </w:r>
          </w:p>
          <w:p w:rsidR="00000000" w:rsidDel="00000000" w:rsidP="00000000" w:rsidRDefault="00000000" w:rsidRPr="00000000" w14:paraId="00000046">
            <w:pPr>
              <w:spacing w:line="276" w:lineRule="auto"/>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6±0,29 V</w:t>
            </w:r>
          </w:p>
        </w:tc>
        <w:tc>
          <w:tcPr/>
          <w:p w:rsidR="00000000" w:rsidDel="00000000" w:rsidP="00000000" w:rsidRDefault="00000000" w:rsidRPr="00000000" w14:paraId="00000047">
            <w:pPr>
              <w:spacing w:line="276" w:lineRule="auto"/>
              <w:ind w:firstLine="0"/>
              <w:rPr>
                <w:rFonts w:ascii="Open Sans" w:cs="Open Sans" w:eastAsia="Open Sans" w:hAnsi="Open Sans"/>
                <w:sz w:val="22"/>
                <w:szCs w:val="2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48">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049">
            <w:pPr>
              <w:widowControl w:val="0"/>
              <w:spacing w:line="276" w:lineRule="auto"/>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Header TO-8 12 pin parameters</w:t>
            </w:r>
          </w:p>
        </w:tc>
        <w:tc>
          <w:tcPr>
            <w:tcMar>
              <w:top w:w="55.0" w:type="dxa"/>
              <w:left w:w="55.0" w:type="dxa"/>
              <w:bottom w:w="55.0" w:type="dxa"/>
              <w:right w:w="55.0" w:type="dxa"/>
            </w:tcMar>
          </w:tcPr>
          <w:p w:rsidR="00000000" w:rsidDel="00000000" w:rsidP="00000000" w:rsidRDefault="00000000" w:rsidRPr="00000000" w14:paraId="0000004A">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Header type</w:t>
            </w:r>
          </w:p>
        </w:tc>
        <w:tc>
          <w:tcPr/>
          <w:p w:rsidR="00000000" w:rsidDel="00000000" w:rsidP="00000000" w:rsidRDefault="00000000" w:rsidRPr="00000000" w14:paraId="0000004B">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TO8</w:t>
            </w:r>
          </w:p>
        </w:tc>
        <w:tc>
          <w:tcPr/>
          <w:p w:rsidR="00000000" w:rsidDel="00000000" w:rsidP="00000000" w:rsidRDefault="00000000" w:rsidRPr="00000000" w14:paraId="0000004C">
            <w:pPr>
              <w:ind w:firstLine="0"/>
              <w:rPr>
                <w:rFonts w:ascii="Open Sans" w:cs="Open Sans" w:eastAsia="Open Sans" w:hAnsi="Open Sans"/>
                <w:sz w:val="22"/>
                <w:szCs w:val="2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4D">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4E">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F">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Number of the pins</w:t>
            </w:r>
          </w:p>
        </w:tc>
        <w:tc>
          <w:tcPr/>
          <w:p w:rsidR="00000000" w:rsidDel="00000000" w:rsidP="00000000" w:rsidRDefault="00000000" w:rsidRPr="00000000" w14:paraId="00000050">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12 pin</w:t>
            </w:r>
          </w:p>
        </w:tc>
        <w:tc>
          <w:tcPr/>
          <w:p w:rsidR="00000000" w:rsidDel="00000000" w:rsidP="00000000" w:rsidRDefault="00000000" w:rsidRPr="00000000" w14:paraId="00000051">
            <w:pPr>
              <w:ind w:firstLine="0"/>
              <w:rPr>
                <w:rFonts w:ascii="Open Sans" w:cs="Open Sans" w:eastAsia="Open Sans" w:hAnsi="Open Sans"/>
                <w:sz w:val="22"/>
                <w:szCs w:val="2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52">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3">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4">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Header material</w:t>
            </w:r>
          </w:p>
        </w:tc>
        <w:tc>
          <w:tcPr/>
          <w:p w:rsidR="00000000" w:rsidDel="00000000" w:rsidP="00000000" w:rsidRDefault="00000000" w:rsidRPr="00000000" w14:paraId="00000055">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Kovar (alloy complying with ASTM F-15)</w:t>
            </w:r>
          </w:p>
        </w:tc>
        <w:tc>
          <w:tcPr/>
          <w:p w:rsidR="00000000" w:rsidDel="00000000" w:rsidP="00000000" w:rsidRDefault="00000000" w:rsidRPr="00000000" w14:paraId="00000056">
            <w:pPr>
              <w:ind w:firstLine="0"/>
              <w:rPr>
                <w:rFonts w:ascii="Open Sans" w:cs="Open Sans" w:eastAsia="Open Sans" w:hAnsi="Open Sans"/>
                <w:sz w:val="22"/>
                <w:szCs w:val="2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57">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8">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9">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Metallization of the header</w:t>
            </w:r>
          </w:p>
        </w:tc>
        <w:tc>
          <w:tcPr/>
          <w:p w:rsidR="00000000" w:rsidDel="00000000" w:rsidP="00000000" w:rsidRDefault="00000000" w:rsidRPr="00000000" w14:paraId="0000005A">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1.Ni layer - metallization thickness 1.27-3.8 μm</w:t>
            </w:r>
          </w:p>
          <w:p w:rsidR="00000000" w:rsidDel="00000000" w:rsidP="00000000" w:rsidRDefault="00000000" w:rsidRPr="00000000" w14:paraId="0000005B">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 Au layer - metallization thickness&gt; 1.27 μm</w:t>
            </w:r>
          </w:p>
        </w:tc>
        <w:tc>
          <w:tcPr/>
          <w:p w:rsidR="00000000" w:rsidDel="00000000" w:rsidP="00000000" w:rsidRDefault="00000000" w:rsidRPr="00000000" w14:paraId="0000005C">
            <w:pPr>
              <w:ind w:firstLine="0"/>
              <w:rPr>
                <w:rFonts w:ascii="Open Sans" w:cs="Open Sans" w:eastAsia="Open Sans" w:hAnsi="Open Sans"/>
                <w:sz w:val="22"/>
                <w:szCs w:val="2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5D">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E">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F">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Pin material</w:t>
            </w:r>
          </w:p>
        </w:tc>
        <w:tc>
          <w:tcPr/>
          <w:p w:rsidR="00000000" w:rsidDel="00000000" w:rsidP="00000000" w:rsidRDefault="00000000" w:rsidRPr="00000000" w14:paraId="00000060">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Kovar (alloy complying with ASTM F-15)</w:t>
            </w:r>
          </w:p>
        </w:tc>
        <w:tc>
          <w:tcPr/>
          <w:p w:rsidR="00000000" w:rsidDel="00000000" w:rsidP="00000000" w:rsidRDefault="00000000" w:rsidRPr="00000000" w14:paraId="00000061">
            <w:pPr>
              <w:ind w:firstLine="0"/>
              <w:rPr>
                <w:rFonts w:ascii="Open Sans" w:cs="Open Sans" w:eastAsia="Open Sans" w:hAnsi="Open Sans"/>
                <w:sz w:val="22"/>
                <w:szCs w:val="2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62">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63">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4">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Metallization of the pins</w:t>
            </w:r>
          </w:p>
        </w:tc>
        <w:tc>
          <w:tcPr/>
          <w:p w:rsidR="00000000" w:rsidDel="00000000" w:rsidP="00000000" w:rsidRDefault="00000000" w:rsidRPr="00000000" w14:paraId="00000065">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1.Ni layer - metallization thickness 1.27-3.8 μm</w:t>
            </w:r>
          </w:p>
          <w:p w:rsidR="00000000" w:rsidDel="00000000" w:rsidP="00000000" w:rsidRDefault="00000000" w:rsidRPr="00000000" w14:paraId="00000066">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 Au layer - metallization thickness&gt; 1.27 μm</w:t>
            </w:r>
          </w:p>
        </w:tc>
        <w:tc>
          <w:tcPr/>
          <w:p w:rsidR="00000000" w:rsidDel="00000000" w:rsidP="00000000" w:rsidRDefault="00000000" w:rsidRPr="00000000" w14:paraId="00000067">
            <w:pPr>
              <w:ind w:firstLine="0"/>
              <w:rPr>
                <w:rFonts w:ascii="Open Sans" w:cs="Open Sans" w:eastAsia="Open Sans" w:hAnsi="Open Sans"/>
                <w:sz w:val="22"/>
                <w:szCs w:val="22"/>
              </w:rPr>
            </w:pPr>
            <w:r w:rsidDel="00000000" w:rsidR="00000000" w:rsidRPr="00000000">
              <w:rPr>
                <w:rtl w:val="0"/>
              </w:rPr>
            </w:r>
          </w:p>
        </w:tc>
      </w:tr>
      <w:tr>
        <w:trPr>
          <w:cantSplit w:val="0"/>
          <w:trHeight w:val="153" w:hRule="atLeast"/>
          <w:tblHeader w:val="0"/>
        </w:trPr>
        <w:tc>
          <w:tcPr>
            <w:vMerge w:val="continue"/>
            <w:vAlign w:val="center"/>
          </w:tcPr>
          <w:p w:rsidR="00000000" w:rsidDel="00000000" w:rsidP="00000000" w:rsidRDefault="00000000" w:rsidRPr="00000000" w14:paraId="00000068">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69">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A">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Mounting screw</w:t>
            </w:r>
          </w:p>
        </w:tc>
        <w:tc>
          <w:tcPr/>
          <w:p w:rsidR="00000000" w:rsidDel="00000000" w:rsidP="00000000" w:rsidRDefault="00000000" w:rsidRPr="00000000" w14:paraId="0000006B">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Screw material - CRS (cold rolled steel)</w:t>
            </w:r>
          </w:p>
          <w:p w:rsidR="00000000" w:rsidDel="00000000" w:rsidP="00000000" w:rsidRDefault="00000000" w:rsidRPr="00000000" w14:paraId="0000006C">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Bolt thread - 4-40 UNC</w:t>
            </w:r>
          </w:p>
          <w:p w:rsidR="00000000" w:rsidDel="00000000" w:rsidP="00000000" w:rsidRDefault="00000000" w:rsidRPr="00000000" w14:paraId="0000006D">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Screw length - 7.4 ± 0.4 mm</w:t>
            </w:r>
          </w:p>
        </w:tc>
        <w:tc>
          <w:tcPr/>
          <w:p w:rsidR="00000000" w:rsidDel="00000000" w:rsidP="00000000" w:rsidRDefault="00000000" w:rsidRPr="00000000" w14:paraId="0000006E">
            <w:pPr>
              <w:ind w:firstLine="0"/>
              <w:rPr>
                <w:rFonts w:ascii="Open Sans" w:cs="Open Sans" w:eastAsia="Open Sans" w:hAnsi="Open Sans"/>
                <w:sz w:val="22"/>
                <w:szCs w:val="2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06F">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70">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1">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Header sealing</w:t>
            </w:r>
          </w:p>
        </w:tc>
        <w:tc>
          <w:tcPr/>
          <w:p w:rsidR="00000000" w:rsidDel="00000000" w:rsidP="00000000" w:rsidRDefault="00000000" w:rsidRPr="00000000" w14:paraId="00000072">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Electrically non-conductive, non-transparent, helium leakage of a sealing material less than </w:t>
            </w:r>
          </w:p>
          <w:p w:rsidR="00000000" w:rsidDel="00000000" w:rsidP="00000000" w:rsidRDefault="00000000" w:rsidRPr="00000000" w14:paraId="00000073">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10-8 mbar * l / s - e.g. Corning 7052 or equivalent</w:t>
            </w:r>
          </w:p>
        </w:tc>
        <w:tc>
          <w:tcPr/>
          <w:p w:rsidR="00000000" w:rsidDel="00000000" w:rsidP="00000000" w:rsidRDefault="00000000" w:rsidRPr="00000000" w14:paraId="00000074">
            <w:pPr>
              <w:ind w:firstLine="0"/>
              <w:rPr>
                <w:rFonts w:ascii="Open Sans" w:cs="Open Sans" w:eastAsia="Open Sans" w:hAnsi="Open Sans"/>
                <w:sz w:val="22"/>
                <w:szCs w:val="2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075">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76">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7">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 internal length of the pins (from the mounting surface of the cooler)</w:t>
            </w:r>
          </w:p>
        </w:tc>
        <w:tc>
          <w:tcPr/>
          <w:p w:rsidR="00000000" w:rsidDel="00000000" w:rsidP="00000000" w:rsidRDefault="00000000" w:rsidRPr="00000000" w14:paraId="00000078">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2,6±0,13 mm</w:t>
            </w:r>
          </w:p>
        </w:tc>
        <w:tc>
          <w:tcPr/>
          <w:p w:rsidR="00000000" w:rsidDel="00000000" w:rsidP="00000000" w:rsidRDefault="00000000" w:rsidRPr="00000000" w14:paraId="00000079">
            <w:pPr>
              <w:ind w:firstLine="0"/>
              <w:rPr>
                <w:rFonts w:ascii="Open Sans" w:cs="Open Sans" w:eastAsia="Open Sans" w:hAnsi="Open Sans"/>
                <w:sz w:val="22"/>
                <w:szCs w:val="22"/>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7A">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7B">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C">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Pin surface roughness</w:t>
            </w:r>
          </w:p>
        </w:tc>
        <w:tc>
          <w:tcPr/>
          <w:p w:rsidR="00000000" w:rsidDel="00000000" w:rsidP="00000000" w:rsidRDefault="00000000" w:rsidRPr="00000000" w14:paraId="0000007D">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Ra 0.8 or better</w:t>
            </w:r>
          </w:p>
        </w:tc>
        <w:tc>
          <w:tcPr/>
          <w:p w:rsidR="00000000" w:rsidDel="00000000" w:rsidP="00000000" w:rsidRDefault="00000000" w:rsidRPr="00000000" w14:paraId="0000007E">
            <w:pPr>
              <w:ind w:firstLine="0"/>
              <w:rPr>
                <w:rFonts w:ascii="Open Sans" w:cs="Open Sans" w:eastAsia="Open Sans" w:hAnsi="Open Sans"/>
                <w:sz w:val="22"/>
                <w:szCs w:val="2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07F">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80">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1">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 outer length of the pins (from the surface with the thread mounted)</w:t>
            </w:r>
          </w:p>
        </w:tc>
        <w:tc>
          <w:tcPr/>
          <w:p w:rsidR="00000000" w:rsidDel="00000000" w:rsidP="00000000" w:rsidRDefault="00000000" w:rsidRPr="00000000" w14:paraId="00000082">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7,4±0,13 mm</w:t>
            </w:r>
          </w:p>
        </w:tc>
        <w:tc>
          <w:tcPr/>
          <w:p w:rsidR="00000000" w:rsidDel="00000000" w:rsidP="00000000" w:rsidRDefault="00000000" w:rsidRPr="00000000" w14:paraId="00000083">
            <w:pPr>
              <w:ind w:firstLine="0"/>
              <w:rPr>
                <w:rFonts w:ascii="Open Sans" w:cs="Open Sans" w:eastAsia="Open Sans" w:hAnsi="Open Sans"/>
                <w:sz w:val="22"/>
                <w:szCs w:val="22"/>
              </w:rPr>
            </w:pPr>
            <w:r w:rsidDel="00000000" w:rsidR="00000000" w:rsidRPr="00000000">
              <w:rPr>
                <w:rtl w:val="0"/>
              </w:rPr>
            </w:r>
          </w:p>
        </w:tc>
      </w:tr>
      <w:tr>
        <w:trPr>
          <w:cantSplit w:val="0"/>
          <w:trHeight w:val="94" w:hRule="atLeast"/>
          <w:tblHeader w:val="0"/>
        </w:trPr>
        <w:tc>
          <w:tcPr>
            <w:vMerge w:val="continue"/>
            <w:vAlign w:val="center"/>
          </w:tcPr>
          <w:p w:rsidR="00000000" w:rsidDel="00000000" w:rsidP="00000000" w:rsidRDefault="00000000" w:rsidRPr="00000000" w14:paraId="00000084">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085">
            <w:pPr>
              <w:widowControl w:val="0"/>
              <w:spacing w:line="276" w:lineRule="auto"/>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Features of the set: cooler on the header</w:t>
            </w:r>
          </w:p>
        </w:tc>
        <w:tc>
          <w:tcPr>
            <w:tcMar>
              <w:top w:w="55.0" w:type="dxa"/>
              <w:left w:w="55.0" w:type="dxa"/>
              <w:bottom w:w="55.0" w:type="dxa"/>
              <w:right w:w="55.0" w:type="dxa"/>
            </w:tcMar>
          </w:tcPr>
          <w:p w:rsidR="00000000" w:rsidDel="00000000" w:rsidP="00000000" w:rsidRDefault="00000000" w:rsidRPr="00000000" w14:paraId="00000086">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 method of mounting the TEC to the header</w:t>
            </w:r>
          </w:p>
        </w:tc>
        <w:tc>
          <w:tcPr/>
          <w:p w:rsidR="00000000" w:rsidDel="00000000" w:rsidP="00000000" w:rsidRDefault="00000000" w:rsidRPr="00000000" w14:paraId="00000087">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Soldering, RoHS lead-free solders, melting point &gt;200C</w:t>
            </w:r>
          </w:p>
        </w:tc>
        <w:tc>
          <w:tcPr/>
          <w:p w:rsidR="00000000" w:rsidDel="00000000" w:rsidP="00000000" w:rsidRDefault="00000000" w:rsidRPr="00000000" w14:paraId="00000088">
            <w:pPr>
              <w:ind w:firstLine="0"/>
              <w:rPr>
                <w:rFonts w:ascii="Open Sans" w:cs="Open Sans" w:eastAsia="Open Sans" w:hAnsi="Open Sans"/>
                <w:sz w:val="22"/>
                <w:szCs w:val="22"/>
              </w:rPr>
            </w:pPr>
            <w:r w:rsidDel="00000000" w:rsidR="00000000" w:rsidRPr="00000000">
              <w:rPr>
                <w:rtl w:val="0"/>
              </w:rPr>
            </w:r>
          </w:p>
        </w:tc>
      </w:tr>
      <w:tr>
        <w:trPr>
          <w:cantSplit w:val="0"/>
          <w:trHeight w:val="305" w:hRule="atLeast"/>
          <w:tblHeader w:val="0"/>
        </w:trPr>
        <w:tc>
          <w:tcPr>
            <w:vMerge w:val="continue"/>
            <w:vAlign w:val="center"/>
          </w:tcPr>
          <w:p w:rsidR="00000000" w:rsidDel="00000000" w:rsidP="00000000" w:rsidRDefault="00000000" w:rsidRPr="00000000" w14:paraId="00000089">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8A">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B">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 connection between TEC wires and pins</w:t>
            </w:r>
          </w:p>
        </w:tc>
        <w:tc>
          <w:tcPr/>
          <w:p w:rsidR="00000000" w:rsidDel="00000000" w:rsidP="00000000" w:rsidRDefault="00000000" w:rsidRPr="00000000" w14:paraId="0000008C">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TEC terminal wires soldered to pins 13 (-) and 16 (+) of the header</w:t>
            </w:r>
          </w:p>
          <w:p w:rsidR="00000000" w:rsidDel="00000000" w:rsidP="00000000" w:rsidRDefault="00000000" w:rsidRPr="00000000" w14:paraId="0000008D">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RoHS lead-free solders with a melting point &gt;200C</w:t>
            </w:r>
          </w:p>
        </w:tc>
        <w:tc>
          <w:tcPr/>
          <w:p w:rsidR="00000000" w:rsidDel="00000000" w:rsidP="00000000" w:rsidRDefault="00000000" w:rsidRPr="00000000" w14:paraId="0000008E">
            <w:pPr>
              <w:ind w:firstLine="0"/>
              <w:rPr>
                <w:rFonts w:ascii="Open Sans" w:cs="Open Sans" w:eastAsia="Open Sans" w:hAnsi="Open Sans"/>
                <w:sz w:val="22"/>
                <w:szCs w:val="2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08F">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90">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91">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Position tolerance between TEC and header</w:t>
            </w:r>
          </w:p>
        </w:tc>
        <w:tc>
          <w:tcPr/>
          <w:p w:rsidR="00000000" w:rsidDel="00000000" w:rsidP="00000000" w:rsidRDefault="00000000" w:rsidRPr="00000000" w14:paraId="00000092">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 error in the position of the centre of the top stage of the TEC relative to the axis defined by the rim of a 13,4 mm diameter have to be less than 200 μm</w:t>
            </w:r>
          </w:p>
        </w:tc>
        <w:tc>
          <w:tcPr/>
          <w:p w:rsidR="00000000" w:rsidDel="00000000" w:rsidP="00000000" w:rsidRDefault="00000000" w:rsidRPr="00000000" w14:paraId="00000093">
            <w:pPr>
              <w:ind w:firstLine="0"/>
              <w:rPr>
                <w:rFonts w:ascii="Open Sans" w:cs="Open Sans" w:eastAsia="Open Sans" w:hAnsi="Open Sans"/>
                <w:sz w:val="22"/>
                <w:szCs w:val="22"/>
              </w:rPr>
            </w:pPr>
            <w:r w:rsidDel="00000000" w:rsidR="00000000" w:rsidRPr="00000000">
              <w:rPr>
                <w:rtl w:val="0"/>
              </w:rPr>
            </w:r>
          </w:p>
        </w:tc>
      </w:tr>
      <w:tr>
        <w:trPr>
          <w:cantSplit w:val="0"/>
          <w:trHeight w:val="960" w:hRule="atLeast"/>
          <w:tblHeader w:val="0"/>
        </w:trPr>
        <w:tc>
          <w:tcPr>
            <w:vMerge w:val="continue"/>
            <w:vAlign w:val="center"/>
          </w:tcPr>
          <w:p w:rsidR="00000000" w:rsidDel="00000000" w:rsidP="00000000" w:rsidRDefault="00000000" w:rsidRPr="00000000" w14:paraId="00000094">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95">
            <w:pPr>
              <w:widowControl w:val="0"/>
              <w:spacing w:line="276" w:lineRule="auto"/>
              <w:ind w:firstLine="0"/>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96">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ACR (cooler mounted to a header, measurement under vacuum, 300K)</w:t>
            </w:r>
          </w:p>
        </w:tc>
        <w:tc>
          <w:tcPr/>
          <w:p w:rsidR="00000000" w:rsidDel="00000000" w:rsidP="00000000" w:rsidRDefault="00000000" w:rsidRPr="00000000" w14:paraId="00000097">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6,05±0,3 Ω</w:t>
            </w:r>
          </w:p>
        </w:tc>
        <w:tc>
          <w:tcPr/>
          <w:p w:rsidR="00000000" w:rsidDel="00000000" w:rsidP="00000000" w:rsidRDefault="00000000" w:rsidRPr="00000000" w14:paraId="00000098">
            <w:pPr>
              <w:ind w:firstLine="0"/>
              <w:rPr>
                <w:rFonts w:ascii="Open Sans" w:cs="Open Sans" w:eastAsia="Open Sans" w:hAnsi="Open Sans"/>
                <w:sz w:val="22"/>
                <w:szCs w:val="22"/>
              </w:rPr>
            </w:pPr>
            <w:r w:rsidDel="00000000" w:rsidR="00000000" w:rsidRPr="00000000">
              <w:rPr>
                <w:rtl w:val="0"/>
              </w:rPr>
            </w:r>
          </w:p>
        </w:tc>
      </w:tr>
    </w:tbl>
    <w:p w:rsidR="00000000" w:rsidDel="00000000" w:rsidP="00000000" w:rsidRDefault="00000000" w:rsidRPr="00000000" w14:paraId="00000099">
      <w:pPr>
        <w:spacing w:line="360" w:lineRule="auto"/>
        <w:ind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9A">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highlight w:val="lightGray"/>
        </w:rPr>
      </w:pPr>
      <w:r w:rsidDel="00000000" w:rsidR="00000000" w:rsidRPr="00000000">
        <w:rPr>
          <w:rFonts w:ascii="Open Sans" w:cs="Open Sans" w:eastAsia="Open Sans" w:hAnsi="Open Sans"/>
          <w:b w:val="1"/>
          <w:color w:val="000000"/>
          <w:highlight w:val="lightGray"/>
          <w:rtl w:val="0"/>
        </w:rPr>
        <w:t xml:space="preserve">Deadline for binding offers</w:t>
      </w:r>
    </w:p>
    <w:p w:rsidR="00000000" w:rsidDel="00000000" w:rsidP="00000000" w:rsidRDefault="00000000" w:rsidRPr="00000000" w14:paraId="0000009B">
      <w:pPr>
        <w:keepNext w:val="1"/>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The period of being bound by this offer is </w:t>
      </w:r>
      <w:r w:rsidDel="00000000" w:rsidR="00000000" w:rsidRPr="00000000">
        <w:rPr>
          <w:rFonts w:ascii="Open Sans" w:cs="Open Sans" w:eastAsia="Open Sans" w:hAnsi="Open Sans"/>
          <w:rtl w:val="0"/>
        </w:rPr>
        <w:t xml:space="preserve">3</w:t>
      </w:r>
      <w:r w:rsidDel="00000000" w:rsidR="00000000" w:rsidRPr="00000000">
        <w:rPr>
          <w:rFonts w:ascii="Open Sans" w:cs="Open Sans" w:eastAsia="Open Sans" w:hAnsi="Open Sans"/>
          <w:color w:val="000000"/>
          <w:rtl w:val="0"/>
        </w:rPr>
        <w:t xml:space="preserve">0 days from the deadline for submitting offers specified in the Request for Proposals.</w:t>
      </w:r>
    </w:p>
    <w:p w:rsidR="00000000" w:rsidDel="00000000" w:rsidP="00000000" w:rsidRDefault="00000000" w:rsidRPr="00000000" w14:paraId="0000009C">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highlight w:val="lightGray"/>
        </w:rPr>
      </w:pPr>
      <w:r w:rsidDel="00000000" w:rsidR="00000000" w:rsidRPr="00000000">
        <w:rPr>
          <w:rFonts w:ascii="Open Sans" w:cs="Open Sans" w:eastAsia="Open Sans" w:hAnsi="Open Sans"/>
          <w:b w:val="1"/>
          <w:color w:val="000000"/>
          <w:highlight w:val="lightGray"/>
          <w:rtl w:val="0"/>
        </w:rPr>
        <w:t xml:space="preserve">Contact person on the part of the Contractor</w:t>
      </w:r>
    </w:p>
    <w:p w:rsidR="00000000" w:rsidDel="00000000" w:rsidP="00000000" w:rsidRDefault="00000000" w:rsidRPr="00000000" w14:paraId="0000009D">
      <w:pPr>
        <w:keepNext w:val="1"/>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rPr>
      </w:pPr>
      <w:r w:rsidDel="00000000" w:rsidR="00000000" w:rsidRPr="00000000">
        <w:rPr>
          <w:rFonts w:ascii="Open Sans" w:cs="Open Sans" w:eastAsia="Open Sans" w:hAnsi="Open Sans"/>
          <w:b w:val="1"/>
          <w:color w:val="000000"/>
          <w:rtl w:val="0"/>
        </w:rPr>
        <w:t xml:space="preserve">……………………</w:t>
      </w:r>
      <w:r w:rsidDel="00000000" w:rsidR="00000000" w:rsidRPr="00000000">
        <w:rPr>
          <w:rFonts w:ascii="Open Sans" w:cs="Open Sans" w:eastAsia="Open Sans" w:hAnsi="Open Sans"/>
          <w:color w:val="000000"/>
          <w:rtl w:val="0"/>
        </w:rPr>
        <w:t xml:space="preserve"> [•], telephone </w:t>
      </w:r>
      <w:r w:rsidDel="00000000" w:rsidR="00000000" w:rsidRPr="00000000">
        <w:rPr>
          <w:rFonts w:ascii="Open Sans" w:cs="Open Sans" w:eastAsia="Open Sans" w:hAnsi="Open Sans"/>
          <w:b w:val="1"/>
          <w:color w:val="000000"/>
          <w:rtl w:val="0"/>
        </w:rPr>
        <w:t xml:space="preserve">……………………</w:t>
      </w:r>
      <w:r w:rsidDel="00000000" w:rsidR="00000000" w:rsidRPr="00000000">
        <w:rPr>
          <w:rFonts w:ascii="Open Sans" w:cs="Open Sans" w:eastAsia="Open Sans" w:hAnsi="Open Sans"/>
          <w:color w:val="000000"/>
          <w:rtl w:val="0"/>
        </w:rPr>
        <w:t xml:space="preserve"> [•],</w:t>
      </w:r>
      <w:r w:rsidDel="00000000" w:rsidR="00000000" w:rsidRPr="00000000">
        <w:rPr>
          <w:rFonts w:ascii="Open Sans" w:cs="Open Sans" w:eastAsia="Open Sans" w:hAnsi="Open Sans"/>
          <w:b w:val="1"/>
          <w:color w:val="000000"/>
          <w:rtl w:val="0"/>
        </w:rPr>
        <w:t xml:space="preserve">……………………</w:t>
      </w:r>
      <w:r w:rsidDel="00000000" w:rsidR="00000000" w:rsidRPr="00000000">
        <w:rPr>
          <w:rFonts w:ascii="Open Sans" w:cs="Open Sans" w:eastAsia="Open Sans" w:hAnsi="Open Sans"/>
          <w:color w:val="000000"/>
          <w:rtl w:val="0"/>
        </w:rPr>
        <w:t xml:space="preserve"> e-mail [•].</w:t>
      </w:r>
    </w:p>
    <w:p w:rsidR="00000000" w:rsidDel="00000000" w:rsidP="00000000" w:rsidRDefault="00000000" w:rsidRPr="00000000" w14:paraId="0000009E">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highlight w:val="lightGray"/>
        </w:rPr>
      </w:pPr>
      <w:r w:rsidDel="00000000" w:rsidR="00000000" w:rsidRPr="00000000">
        <w:rPr>
          <w:rFonts w:ascii="Open Sans" w:cs="Open Sans" w:eastAsia="Open Sans" w:hAnsi="Open Sans"/>
          <w:b w:val="1"/>
          <w:color w:val="000000"/>
          <w:highlight w:val="lightGray"/>
          <w:rtl w:val="0"/>
        </w:rPr>
        <w:t xml:space="preserve">Contractors statements</w:t>
      </w:r>
    </w:p>
    <w:p w:rsidR="00000000" w:rsidDel="00000000" w:rsidP="00000000" w:rsidRDefault="00000000" w:rsidRPr="00000000" w14:paraId="0000009F">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The Contractor declares that he has read the Inquiry, including in particular the terms of the Order performance contained in point 13 of the Inquiry, and does not raise any objections to it and has all the information necessary to prepare this offer and perform the Order.</w:t>
      </w:r>
    </w:p>
    <w:p w:rsidR="00000000" w:rsidDel="00000000" w:rsidP="00000000" w:rsidRDefault="00000000" w:rsidRPr="00000000" w14:paraId="000000A0">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declares that:</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 Has the authority to perform specific activities or activities, if the law imposes an obligation to have them;</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 has the necessary knowledge, experience and technical and human potential to perform the Order;</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 is in an economic and financial situation ensuring the performance of the Order;</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 is not in arrears with taxes, fees and social security contributions.</w:t>
      </w:r>
    </w:p>
    <w:p w:rsidR="00000000" w:rsidDel="00000000" w:rsidP="00000000" w:rsidRDefault="00000000" w:rsidRPr="00000000" w14:paraId="000000A5">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If this offer is found to be the most advantageous, the Contractor undertakes to execute the order at the time and place resulting from the inquiry.</w:t>
      </w:r>
    </w:p>
    <w:p w:rsidR="00000000" w:rsidDel="00000000" w:rsidP="00000000" w:rsidRDefault="00000000" w:rsidRPr="00000000" w14:paraId="000000A6">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undertakes to perform the Order described in the Inquiry, in accordance with the requirements of the Inquiry, applicable regulations and due diligence.</w:t>
      </w:r>
    </w:p>
    <w:p w:rsidR="00000000" w:rsidDel="00000000" w:rsidP="00000000" w:rsidRDefault="00000000" w:rsidRPr="00000000" w14:paraId="000000A7">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declares that:</w:t>
      </w:r>
    </w:p>
    <w:p w:rsidR="00000000" w:rsidDel="00000000" w:rsidP="00000000" w:rsidRDefault="00000000" w:rsidRPr="00000000" w14:paraId="000000A8">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offered product complies with the specification specified in the description of the subject of the contract in each of the parameters listed therein,</w:t>
      </w:r>
    </w:p>
    <w:p w:rsidR="00000000" w:rsidDel="00000000" w:rsidP="00000000" w:rsidRDefault="00000000" w:rsidRPr="00000000" w14:paraId="000000A9">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will deliver the product within the time limit specified in the request for proposal,</w:t>
      </w:r>
    </w:p>
    <w:p w:rsidR="00000000" w:rsidDel="00000000" w:rsidP="00000000" w:rsidRDefault="00000000" w:rsidRPr="00000000" w14:paraId="000000AA">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Documents constituting attachments to this offer constitute its integral part.</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For the Contractor</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___________________________</w:t>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Attachments:</w:t>
      </w:r>
    </w:p>
    <w:p w:rsidR="00000000" w:rsidDel="00000000" w:rsidP="00000000" w:rsidRDefault="00000000" w:rsidRPr="00000000" w14:paraId="000000B2">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rtl w:val="0"/>
        </w:rPr>
        <w:t xml:space="preserve">Copy from the Contractor's National Court Register / Copy from the Contractor's CEIDG / other registration document or other the official registered document indicating management bodies appropriate for the Contractor;</w:t>
      </w:r>
    </w:p>
    <w:p w:rsidR="00000000" w:rsidDel="00000000" w:rsidP="00000000" w:rsidRDefault="00000000" w:rsidRPr="00000000" w14:paraId="000000B3">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rtl w:val="0"/>
        </w:rPr>
        <w:t xml:space="preserve"> Power of attorney (if the offer is submitted by a proxy)</w:t>
      </w:r>
    </w:p>
    <w:p w:rsidR="00000000" w:rsidDel="00000000" w:rsidP="00000000" w:rsidRDefault="00000000" w:rsidRPr="00000000" w14:paraId="000000B4">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rtl w:val="0"/>
        </w:rPr>
        <w:t xml:space="preserve">description of submitted bids</w:t>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8851900</wp:posOffset>
              </wp:positionH>
              <wp:positionV relativeFrom="paragraph">
                <wp:posOffset>0</wp:posOffset>
              </wp:positionV>
              <wp:extent cx="274953" cy="735965"/>
              <wp:effectExtent b="0" l="0" r="0" t="0"/>
              <wp:wrapNone/>
              <wp:docPr id="1032" name=""/>
              <a:graphic>
                <a:graphicData uri="http://schemas.microsoft.com/office/word/2010/wordprocessingShape">
                  <wps:wsp>
                    <wps:cNvCnPr/>
                    <wps:spPr>
                      <a:xfrm rot="10800000">
                        <a:off x="5227573" y="3431068"/>
                        <a:ext cx="236855" cy="69786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8851900</wp:posOffset>
              </wp:positionH>
              <wp:positionV relativeFrom="paragraph">
                <wp:posOffset>0</wp:posOffset>
              </wp:positionV>
              <wp:extent cx="274953" cy="735965"/>
              <wp:effectExtent b="0" l="0" r="0" t="0"/>
              <wp:wrapNone/>
              <wp:docPr id="103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74953" cy="73596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spacing w:after="160" w:line="259" w:lineRule="auto"/>
      <w:ind w:firstLine="0"/>
      <w:jc w:val="center"/>
      <w:rPr>
        <w:color w:val="000000"/>
      </w:rPr>
    </w:pPr>
    <w:r w:rsidDel="00000000" w:rsidR="00000000" w:rsidRPr="00000000">
      <w:rPr>
        <w:b w:val="1"/>
        <w:sz w:val="28"/>
        <w:szCs w:val="28"/>
      </w:rPr>
      <w:drawing>
        <wp:inline distB="114300" distT="114300" distL="114300" distR="114300">
          <wp:extent cx="5399730" cy="698500"/>
          <wp:effectExtent b="0" l="0" r="0" t="0"/>
          <wp:docPr id="103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9730" cy="6985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rFonts w:ascii="Calibri" w:cs="Calibri" w:eastAsia="Calibri" w:hAnsi="Calibri"/>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val="pl-PL"/>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3"/>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3"/>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3"/>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3"/>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3"/>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paragraph" w:styleId="Nagwek1Hoofdstukkop" w:customStyle="1">
    <w:name w:val="Nagłówek 1;Hoofdstukkop"/>
    <w:basedOn w:val="Normalny"/>
    <w:next w:val="Tekstpodstawowy"/>
    <w:pPr>
      <w:keepNext w:val="1"/>
      <w:keepLines w:val="1"/>
      <w:numPr>
        <w:numId w:val="3"/>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pPr>
      <w:tabs>
        <w:tab w:val="center" w:pos="4536"/>
        <w:tab w:val="right" w:pos="9072"/>
      </w:tabs>
    </w:p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numPr>
        <w:numId w:val="1"/>
      </w:numPr>
      <w:spacing w:after="140" w:line="290" w:lineRule="auto"/>
      <w:ind w:left="-1" w:hanging="1"/>
      <w:jc w:val="both"/>
    </w:pPr>
    <w:rPr>
      <w:kern w:val="20"/>
    </w:rPr>
  </w:style>
  <w:style w:type="paragraph" w:styleId="GJZacznik2" w:customStyle="1">
    <w:name w:val="GJ Załącznik 2"/>
    <w:basedOn w:val="Normalny"/>
    <w:pPr>
      <w:numPr>
        <w:ilvl w:val="1"/>
        <w:numId w:val="1"/>
      </w:numPr>
      <w:spacing w:after="140" w:line="290" w:lineRule="auto"/>
      <w:ind w:left="-1" w:hanging="1"/>
      <w:jc w:val="both"/>
      <w:outlineLvl w:val="1"/>
    </w:pPr>
    <w:rPr>
      <w:kern w:val="20"/>
      <w:sz w:val="22"/>
      <w:szCs w:val="22"/>
    </w:rPr>
  </w:style>
  <w:style w:type="paragraph" w:styleId="GJZacznik3" w:customStyle="1">
    <w:name w:val="GJ Załącznik 3"/>
    <w:basedOn w:val="Normalny"/>
    <w:pPr>
      <w:numPr>
        <w:ilvl w:val="2"/>
        <w:numId w:val="1"/>
      </w:numPr>
      <w:spacing w:after="140" w:line="290" w:lineRule="auto"/>
      <w:ind w:left="-1" w:hanging="1"/>
      <w:jc w:val="both"/>
      <w:outlineLvl w:val="2"/>
    </w:pPr>
    <w:rPr>
      <w:kern w:val="20"/>
      <w:sz w:val="22"/>
      <w:szCs w:val="22"/>
    </w:rPr>
  </w:style>
  <w:style w:type="paragraph" w:styleId="GJZacznik4" w:customStyle="1">
    <w:name w:val="GJ Załącznik 4"/>
    <w:basedOn w:val="Normalny"/>
    <w:pPr>
      <w:numPr>
        <w:ilvl w:val="3"/>
        <w:numId w:val="1"/>
      </w:numPr>
      <w:spacing w:after="140" w:line="290" w:lineRule="auto"/>
      <w:ind w:left="-1" w:hanging="1"/>
      <w:jc w:val="both"/>
      <w:outlineLvl w:val="3"/>
    </w:pPr>
    <w:rPr>
      <w:kern w:val="20"/>
      <w:sz w:val="22"/>
      <w:szCs w:val="22"/>
    </w:rPr>
  </w:style>
  <w:style w:type="paragraph" w:styleId="GJZacznik5" w:customStyle="1">
    <w:name w:val="GJ Załącznik 5"/>
    <w:basedOn w:val="Normalny"/>
    <w:pPr>
      <w:numPr>
        <w:ilvl w:val="4"/>
        <w:numId w:val="1"/>
      </w:numPr>
      <w:spacing w:after="140" w:line="290" w:lineRule="auto"/>
      <w:ind w:left="-1" w:hanging="1"/>
      <w:jc w:val="both"/>
      <w:outlineLvl w:val="4"/>
    </w:pPr>
    <w:rPr>
      <w:kern w:val="20"/>
      <w:sz w:val="22"/>
      <w:szCs w:val="22"/>
    </w:rPr>
  </w:style>
  <w:style w:type="paragraph" w:styleId="GJZacznik6" w:customStyle="1">
    <w:name w:val="GJ Załącznik 6"/>
    <w:basedOn w:val="Normalny"/>
    <w:pPr>
      <w:numPr>
        <w:ilvl w:val="5"/>
        <w:numId w:val="1"/>
      </w:numPr>
      <w:spacing w:after="140" w:line="290" w:lineRule="auto"/>
      <w:ind w:left="-1" w:hanging="1"/>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numPr>
        <w:numId w:val="2"/>
      </w:numPr>
      <w:spacing w:after="140" w:line="290" w:lineRule="auto"/>
      <w:ind w:left="-1" w:hanging="1"/>
      <w:jc w:val="both"/>
    </w:pPr>
    <w:rPr>
      <w:kern w:val="20"/>
      <w:sz w:val="22"/>
      <w:szCs w:val="22"/>
    </w:rPr>
  </w:style>
  <w:style w:type="paragraph" w:styleId="GJRecitals" w:customStyle="1">
    <w:name w:val="GJ Recitals"/>
    <w:basedOn w:val="Normalny"/>
    <w:pPr>
      <w:tabs>
        <w:tab w:val="num" w:pos="720"/>
      </w:tabs>
      <w:spacing w:after="140" w:line="290" w:lineRule="auto"/>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val="pl-PL"/>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val="pl-PL"/>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b w:val="1"/>
      <w:bCs w:val="1"/>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val="pl-PL"/>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val="pl-PL"/>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val="pl-PL"/>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HoofdstukkopZnak" w:customStyle="1">
    <w:name w:val="Nagłówek 1 Znak;Hoofdstukkop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spacing w:after="140" w:line="288" w:lineRule="auto"/>
      <w:ind w:left="-1" w:leftChars="-1" w:hangingChars="1"/>
      <w:jc w:val="both"/>
      <w:textDirection w:val="btLr"/>
      <w:textAlignment w:val="top"/>
      <w:outlineLvl w:val="0"/>
    </w:pPr>
    <w:rPr>
      <w:kern w:val="1"/>
      <w:position w:val="-1"/>
      <w:sz w:val="22"/>
      <w:szCs w:val="22"/>
      <w:lang w:eastAsia="zh-CN" w:val="pl-PL"/>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Datownik" w:customStyle="1">
    <w:name w:val="Datownik"/>
    <w:next w:val="Normalny"/>
    <w:pPr>
      <w:tabs>
        <w:tab w:val="decimal" w:pos="8640"/>
      </w:tabs>
      <w:suppressAutoHyphens w:val="1"/>
      <w:spacing w:after="480" w:line="1" w:lineRule="atLeast"/>
      <w:ind w:left="-1" w:leftChars="-1" w:hangingChars="1"/>
      <w:jc w:val="right"/>
      <w:textDirection w:val="btLr"/>
      <w:textAlignment w:val="top"/>
      <w:outlineLvl w:val="0"/>
    </w:pPr>
    <w:rPr>
      <w:kern w:val="20"/>
      <w:position w:val="-1"/>
      <w:sz w:val="22"/>
      <w:szCs w:val="22"/>
      <w:lang w:eastAsia="en-US" w:val="pl-PL"/>
    </w:rPr>
  </w:style>
  <w:style w:type="paragraph" w:styleId="GJAdresat" w:customStyle="1">
    <w:name w:val="GJ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TPAdresat" w:customStyle="1">
    <w:name w:val="TP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GJNadawca" w:customStyle="1">
    <w:name w:val="GJ Nadawca"/>
    <w:next w:val="Tytu"/>
    <w:pPr>
      <w:tabs>
        <w:tab w:val="num" w:pos="720"/>
      </w:tabs>
      <w:suppressAutoHyphens w:val="1"/>
      <w:spacing w:after="240" w:before="240" w:line="290" w:lineRule="auto"/>
      <w:ind w:left="-1" w:leftChars="-1" w:hangingChars="1"/>
      <w:jc w:val="both"/>
      <w:textDirection w:val="btLr"/>
      <w:textAlignment w:val="top"/>
      <w:outlineLvl w:val="0"/>
    </w:pPr>
    <w:rPr>
      <w:position w:val="-1"/>
      <w:sz w:val="22"/>
      <w:szCs w:val="22"/>
      <w:lang w:val="pl-PL"/>
    </w:rPr>
  </w:style>
  <w:style w:type="paragraph" w:styleId="TPAkapit" w:customStyle="1">
    <w:name w:val="TP Akapit"/>
    <w:pPr>
      <w:suppressAutoHyphens w:val="1"/>
      <w:spacing w:after="80" w:line="290" w:lineRule="auto"/>
      <w:ind w:left="-1" w:leftChars="-1" w:hangingChars="1"/>
      <w:jc w:val="both"/>
      <w:textDirection w:val="btLr"/>
      <w:textAlignment w:val="top"/>
      <w:outlineLvl w:val="0"/>
    </w:pPr>
    <w:rPr>
      <w:kern w:val="20"/>
      <w:position w:val="-1"/>
      <w:sz w:val="22"/>
      <w:szCs w:val="22"/>
      <w:lang w:eastAsia="en-US" w:val="en-GB"/>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jc w:val="both"/>
    </w:pPr>
    <w:rPr>
      <w:kern w:val="32"/>
      <w:sz w:val="22"/>
      <w:szCs w:val="22"/>
      <w:lang w:eastAsia="pl-PL"/>
    </w:rPr>
  </w:style>
  <w:style w:type="paragraph" w:styleId="GJPunkty1" w:customStyle="1">
    <w:name w:val="GJ Punkty 1"/>
    <w:basedOn w:val="Normalny"/>
    <w:next w:val="Normalny"/>
    <w:pPr>
      <w:widowControl w:val="0"/>
      <w:tabs>
        <w:tab w:val="num" w:pos="562"/>
      </w:tabs>
      <w:spacing w:after="140" w:before="280" w:line="290" w:lineRule="auto"/>
      <w:ind w:left="562" w:hanging="562"/>
      <w:jc w:val="both"/>
    </w:pPr>
    <w:rPr>
      <w:kern w:val="20"/>
      <w:sz w:val="22"/>
      <w:szCs w:val="22"/>
      <w:u w:val="single"/>
    </w:rPr>
  </w:style>
  <w:style w:type="paragraph" w:styleId="GJPunkty2" w:customStyle="1">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styleId="GJPunkty3" w:customStyle="1">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styleId="GJPunkty4" w:customStyle="1">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styleId="GJPunkty5" w:customStyle="1">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styleId="GJPunkty6" w:customStyle="1">
    <w:name w:val="GJ Punkty 6"/>
    <w:basedOn w:val="Normalny"/>
    <w:pPr>
      <w:widowControl w:val="0"/>
      <w:tabs>
        <w:tab w:val="num" w:pos="562"/>
      </w:tabs>
      <w:spacing w:after="30" w:line="264" w:lineRule="auto"/>
      <w:ind w:left="562"/>
      <w:jc w:val="both"/>
      <w:outlineLvl w:val="5"/>
    </w:pPr>
    <w:rPr>
      <w:kern w:val="20"/>
      <w:sz w:val="22"/>
      <w:szCs w:val="22"/>
    </w:rPr>
  </w:style>
  <w:style w:type="paragraph" w:styleId="GJBlok" w:customStyle="1">
    <w:name w:val="GJ Blok"/>
    <w:basedOn w:val="Normalny"/>
    <w:pPr>
      <w:widowControl w:val="0"/>
      <w:spacing w:after="140" w:line="290" w:lineRule="auto"/>
      <w:jc w:val="both"/>
    </w:pPr>
    <w:rPr>
      <w:kern w:val="20"/>
      <w:sz w:val="22"/>
      <w:szCs w:val="22"/>
    </w:rPr>
  </w:style>
  <w:style w:type="paragraph" w:styleId="GJZaczniki" w:customStyle="1">
    <w:name w:val="GJ Załączniki"/>
    <w:pPr>
      <w:tabs>
        <w:tab w:val="num" w:pos="720"/>
        <w:tab w:val="left" w:pos="1123"/>
      </w:tabs>
      <w:suppressAutoHyphens w:val="1"/>
      <w:spacing w:after="40" w:line="290" w:lineRule="auto"/>
      <w:ind w:left="-1" w:leftChars="-1" w:hangingChars="1"/>
      <w:jc w:val="both"/>
      <w:textDirection w:val="btLr"/>
      <w:textAlignment w:val="top"/>
      <w:outlineLvl w:val="0"/>
    </w:pPr>
    <w:rPr>
      <w:position w:val="-1"/>
      <w:sz w:val="18"/>
      <w:szCs w:val="18"/>
      <w:lang w:val="pl-PL"/>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val="pl-PL"/>
    </w:rPr>
  </w:style>
  <w:style w:type="paragraph" w:styleId="HTML-wstpniesformatowany">
    <w:name w:val="HTML Preformatted"/>
    <w:basedOn w:val="Normalny"/>
    <w:qFormat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pl-PL"/>
    </w:rPr>
  </w:style>
  <w:style w:type="character" w:styleId="HTML-wstpniesformatowanyZnak" w:customStyle="1">
    <w:name w:val="HTML - wstępnie sformatowany Znak"/>
    <w:rPr>
      <w:rFonts w:ascii="Courier New" w:cs="Courier New" w:hAnsi="Courier New"/>
      <w:w w:val="100"/>
      <w:position w:val="-1"/>
      <w:effect w:val="none"/>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14.0" w:type="dxa"/>
        <w:left w:w="144.0" w:type="dxa"/>
        <w:bottom w:w="14.0" w:type="dxa"/>
        <w:right w:w="144.0" w:type="dxa"/>
      </w:tblCellMar>
    </w:tblPr>
  </w:style>
  <w:style w:type="table" w:styleId="a0" w:customStyle="1">
    <w:basedOn w:val="TableNormal0"/>
    <w:tblPr>
      <w:tblStyleRowBandSize w:val="1"/>
      <w:tblStyleColBandSize w:val="1"/>
      <w:tblCellMar>
        <w:left w:w="108.0" w:type="dxa"/>
        <w:right w:w="108.0" w:type="dxa"/>
      </w:tblCellMar>
    </w:tblPr>
  </w:style>
  <w:style w:type="paragraph" w:styleId="NormalnyWeb">
    <w:name w:val="Normal (Web)"/>
    <w:basedOn w:val="Normalny"/>
    <w:uiPriority w:val="99"/>
    <w:semiHidden w:val="1"/>
    <w:unhideWhenUsed w:val="1"/>
    <w:rsid w:val="007F008E"/>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lang w:eastAsia="pl-PL"/>
    </w:rPr>
  </w:style>
  <w:style w:type="paragraph" w:styleId="Akapitzlist">
    <w:name w:val="List Paragraph"/>
    <w:basedOn w:val="Normalny"/>
    <w:uiPriority w:val="34"/>
    <w:qFormat w:val="1"/>
    <w:rsid w:val="007F008E"/>
    <w:pPr>
      <w:ind w:left="720"/>
      <w:contextualSpacing w:val="1"/>
    </w:pPr>
  </w:style>
  <w:style w:type="table" w:styleId="a1" w:customStyle="1">
    <w:basedOn w:val="TableNormal0"/>
    <w:tblPr>
      <w:tblStyleRowBandSize w:val="1"/>
      <w:tblStyleColBandSize w:val="1"/>
      <w:tblCellMar>
        <w:top w:w="14.0" w:type="dxa"/>
        <w:left w:w="108.0" w:type="dxa"/>
        <w:bottom w:w="14.0" w:type="dxa"/>
        <w:right w:w="108.0" w:type="dxa"/>
      </w:tblCellMar>
    </w:tblPr>
  </w:style>
  <w:style w:type="table" w:styleId="a2" w:customStyle="1">
    <w:basedOn w:val="TableNormal0"/>
    <w:tblPr>
      <w:tblStyleRowBandSize w:val="1"/>
      <w:tblStyleColBandSize w:val="1"/>
      <w:tblCellMar>
        <w:top w:w="14.0" w:type="dxa"/>
        <w:left w:w="108.0" w:type="dxa"/>
        <w:bottom w:w="14.0" w:type="dxa"/>
        <w:right w:w="108.0" w:type="dxa"/>
      </w:tblCellMar>
    </w:tblPr>
  </w:style>
  <w:style w:type="table" w:styleId="a3" w:customStyle="1">
    <w:basedOn w:val="TableNormal0"/>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XpGzyqM8qhID7xwByC8w3d0iqw==">AMUW2mUj/Q5nW8XNsFd8/Wlg0lUBcjfne0ZovvWkxZOAbLS4Eh+Pi/DEBdzIyWdeeCvIjK9w7YV0vK5RFFzyvnT/3G4vsNTsIte+EFN493W0X2eS4lN2DkkwKG+k90v5wTi+Y4uKGFBk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2020-09-28T12:41:00Z</dcterms:created>
  <dc:creator>Jakub Pietrasik</dc:creator>
</cp:coreProperties>
</file>