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A829" w14:textId="77777777" w:rsidR="00485059" w:rsidRDefault="00485059">
      <w:pPr>
        <w:pBdr>
          <w:top w:val="nil"/>
          <w:left w:val="nil"/>
          <w:bottom w:val="nil"/>
          <w:right w:val="nil"/>
          <w:between w:val="nil"/>
        </w:pBdr>
        <w:spacing w:after="140" w:line="280" w:lineRule="auto"/>
        <w:jc w:val="right"/>
        <w:rPr>
          <w:color w:val="000000"/>
          <w:sz w:val="22"/>
          <w:szCs w:val="22"/>
        </w:rPr>
      </w:pPr>
    </w:p>
    <w:p w14:paraId="5546ED42" w14:textId="546AF67F" w:rsidR="00485059" w:rsidRDefault="0079631D">
      <w:pPr>
        <w:pBdr>
          <w:top w:val="nil"/>
          <w:left w:val="nil"/>
          <w:bottom w:val="nil"/>
          <w:right w:val="nil"/>
          <w:between w:val="nil"/>
        </w:pBdr>
        <w:spacing w:after="140" w:line="280" w:lineRule="auto"/>
        <w:jc w:val="right"/>
        <w:rPr>
          <w:color w:val="000000"/>
          <w:sz w:val="22"/>
          <w:szCs w:val="22"/>
        </w:rPr>
      </w:pPr>
      <w:proofErr w:type="spellStart"/>
      <w:r>
        <w:rPr>
          <w:color w:val="000000"/>
          <w:sz w:val="22"/>
          <w:szCs w:val="22"/>
        </w:rPr>
        <w:t>Ożarów</w:t>
      </w:r>
      <w:proofErr w:type="spellEnd"/>
      <w:r>
        <w:rPr>
          <w:color w:val="000000"/>
          <w:sz w:val="22"/>
          <w:szCs w:val="22"/>
        </w:rPr>
        <w:t xml:space="preserve"> Mazowiecki, </w:t>
      </w:r>
      <w:r w:rsidR="009015C5">
        <w:rPr>
          <w:sz w:val="22"/>
          <w:szCs w:val="22"/>
        </w:rPr>
        <w:t>2</w:t>
      </w:r>
      <w:r w:rsidR="00633046">
        <w:rPr>
          <w:sz w:val="22"/>
          <w:szCs w:val="22"/>
        </w:rPr>
        <w:t>4</w:t>
      </w:r>
      <w:r w:rsidR="009015C5">
        <w:rPr>
          <w:sz w:val="22"/>
          <w:szCs w:val="22"/>
        </w:rPr>
        <w:t xml:space="preserve"> </w:t>
      </w:r>
      <w:r>
        <w:rPr>
          <w:color w:val="000000"/>
          <w:sz w:val="22"/>
          <w:szCs w:val="22"/>
        </w:rPr>
        <w:t>October  2020</w:t>
      </w:r>
    </w:p>
    <w:p w14:paraId="1D08D7F1" w14:textId="77777777" w:rsidR="00485059" w:rsidRDefault="00485059">
      <w:pPr>
        <w:pBdr>
          <w:top w:val="nil"/>
          <w:left w:val="nil"/>
          <w:bottom w:val="nil"/>
          <w:right w:val="nil"/>
          <w:between w:val="nil"/>
        </w:pBdr>
        <w:spacing w:after="140" w:line="280" w:lineRule="auto"/>
        <w:jc w:val="right"/>
        <w:rPr>
          <w:color w:val="000000"/>
          <w:sz w:val="22"/>
          <w:szCs w:val="22"/>
        </w:rPr>
      </w:pPr>
    </w:p>
    <w:p w14:paraId="7750FFA8" w14:textId="77777777" w:rsidR="00485059" w:rsidRDefault="00485059">
      <w:pPr>
        <w:pBdr>
          <w:top w:val="nil"/>
          <w:left w:val="nil"/>
          <w:bottom w:val="nil"/>
          <w:right w:val="nil"/>
          <w:between w:val="nil"/>
        </w:pBdr>
        <w:spacing w:after="140" w:line="280" w:lineRule="auto"/>
        <w:jc w:val="right"/>
        <w:rPr>
          <w:color w:val="000000"/>
        </w:rPr>
      </w:pPr>
    </w:p>
    <w:p w14:paraId="796CB854" w14:textId="12A92FF0" w:rsidR="00485059" w:rsidRDefault="0079631D">
      <w:pPr>
        <w:widowControl w:val="0"/>
        <w:pBdr>
          <w:top w:val="nil"/>
          <w:left w:val="nil"/>
          <w:bottom w:val="nil"/>
          <w:right w:val="nil"/>
          <w:between w:val="nil"/>
        </w:pBdr>
        <w:spacing w:before="240" w:after="60"/>
        <w:jc w:val="center"/>
        <w:rPr>
          <w:b/>
          <w:color w:val="000000"/>
          <w:sz w:val="28"/>
          <w:szCs w:val="28"/>
        </w:rPr>
      </w:pPr>
      <w:bookmarkStart w:id="0" w:name="_heading=h.30j0zll" w:colFirst="0" w:colLast="0"/>
      <w:bookmarkEnd w:id="0"/>
      <w:r>
        <w:rPr>
          <w:b/>
          <w:color w:val="000000"/>
          <w:sz w:val="28"/>
          <w:szCs w:val="28"/>
        </w:rPr>
        <w:t xml:space="preserve">Request for proposal No. </w:t>
      </w:r>
      <w:r>
        <w:rPr>
          <w:b/>
          <w:sz w:val="28"/>
          <w:szCs w:val="28"/>
        </w:rPr>
        <w:t>RPO-WG/</w:t>
      </w:r>
      <w:r w:rsidR="00633046">
        <w:rPr>
          <w:b/>
          <w:sz w:val="28"/>
          <w:szCs w:val="28"/>
        </w:rPr>
        <w:t>2</w:t>
      </w:r>
      <w:r>
        <w:rPr>
          <w:b/>
          <w:color w:val="000000"/>
          <w:sz w:val="28"/>
          <w:szCs w:val="28"/>
        </w:rPr>
        <w:t xml:space="preserve"> of</w:t>
      </w:r>
      <w:r w:rsidR="009015C5">
        <w:rPr>
          <w:b/>
          <w:color w:val="000000"/>
          <w:sz w:val="28"/>
          <w:szCs w:val="28"/>
        </w:rPr>
        <w:t xml:space="preserve"> 2</w:t>
      </w:r>
      <w:r w:rsidR="00633046">
        <w:rPr>
          <w:b/>
          <w:color w:val="000000"/>
          <w:sz w:val="28"/>
          <w:szCs w:val="28"/>
        </w:rPr>
        <w:t>4</w:t>
      </w:r>
      <w:r>
        <w:rPr>
          <w:b/>
          <w:color w:val="000000"/>
          <w:sz w:val="28"/>
          <w:szCs w:val="28"/>
        </w:rPr>
        <w:t xml:space="preserve"> October 2020 </w:t>
      </w:r>
    </w:p>
    <w:p w14:paraId="5AE868B9" w14:textId="77777777" w:rsidR="00485059" w:rsidRDefault="00485059">
      <w:pPr>
        <w:pBdr>
          <w:top w:val="nil"/>
          <w:left w:val="nil"/>
          <w:bottom w:val="nil"/>
          <w:right w:val="nil"/>
          <w:between w:val="nil"/>
        </w:pBdr>
        <w:rPr>
          <w:color w:val="000000"/>
          <w:sz w:val="24"/>
          <w:szCs w:val="24"/>
        </w:rPr>
      </w:pPr>
    </w:p>
    <w:p w14:paraId="210664F0"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0D5B1BF7"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an investment under a project named </w:t>
      </w:r>
      <w:r>
        <w:rPr>
          <w:sz w:val="22"/>
          <w:szCs w:val="22"/>
        </w:rPr>
        <w:t xml:space="preserve">Multi-element infrared detectors for non-contact multifunctional diagnostics" within the Regional Operational </w:t>
      </w:r>
      <w:proofErr w:type="spellStart"/>
      <w:r>
        <w:rPr>
          <w:sz w:val="22"/>
          <w:szCs w:val="22"/>
        </w:rPr>
        <w:t>Programme</w:t>
      </w:r>
      <w:proofErr w:type="spellEnd"/>
      <w:r>
        <w:rPr>
          <w:sz w:val="22"/>
          <w:szCs w:val="22"/>
        </w:rPr>
        <w:t xml:space="preserve"> of Mazovia Province 2014-2020 (RPO WM 2014-2020), application number: RPMA.01.02.00-14-b451/18 Agreement November 26, 2019</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B4C7EDC"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40ABBD9A"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14:paraId="17958434" w14:textId="1A5DCBD6"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bookmarkStart w:id="1" w:name="_heading=h.1fob9te" w:colFirst="0" w:colLast="0"/>
      <w:bookmarkEnd w:id="1"/>
      <w:r>
        <w:rPr>
          <w:color w:val="000000"/>
          <w:sz w:val="22"/>
          <w:szCs w:val="22"/>
        </w:rPr>
        <w:t>The subject of the contract is a supply, including  installation, launch and staff training, of goods necessary for the Contracting Party’s implementation of a project named “</w:t>
      </w:r>
      <w:r>
        <w:rPr>
          <w:sz w:val="22"/>
          <w:szCs w:val="22"/>
        </w:rPr>
        <w:t xml:space="preserve">Multi-element infrared detectors for non-contact multifunctional diagnostics" within the Regional Operational </w:t>
      </w:r>
      <w:proofErr w:type="spellStart"/>
      <w:r>
        <w:rPr>
          <w:sz w:val="22"/>
          <w:szCs w:val="22"/>
        </w:rPr>
        <w:t>Programme</w:t>
      </w:r>
      <w:proofErr w:type="spellEnd"/>
      <w:r>
        <w:rPr>
          <w:sz w:val="22"/>
          <w:szCs w:val="22"/>
        </w:rPr>
        <w:t xml:space="preserve"> of Mazovia Province 2014-2020 (RPO WM 2014-2020), application number: RPMA.01.02.00-14-b451/18 Agreement </w:t>
      </w:r>
      <w:r w:rsidR="00633046">
        <w:rPr>
          <w:sz w:val="22"/>
          <w:szCs w:val="22"/>
        </w:rPr>
        <w:t>28 February</w:t>
      </w:r>
      <w:r>
        <w:rPr>
          <w:sz w:val="22"/>
          <w:szCs w:val="22"/>
        </w:rPr>
        <w:t>, 20</w:t>
      </w:r>
      <w:r w:rsidR="00633046">
        <w:rPr>
          <w:sz w:val="22"/>
          <w:szCs w:val="22"/>
        </w:rPr>
        <w:t>20</w:t>
      </w:r>
      <w:r>
        <w:rPr>
          <w:sz w:val="22"/>
          <w:szCs w:val="22"/>
        </w:rPr>
        <w:t xml:space="preserve">, No RPMA.01.02.00-14-b451/18 concluded with the Mazovian Unit for the Implementation of EU </w:t>
      </w:r>
      <w:proofErr w:type="spellStart"/>
      <w:r>
        <w:rPr>
          <w:sz w:val="22"/>
          <w:szCs w:val="22"/>
        </w:rPr>
        <w:t>Programmes</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p>
    <w:p w14:paraId="5DFD8EC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bookmarkStart w:id="2" w:name="_heading=h.nmbva05gogdz" w:colFirst="0" w:colLast="0"/>
      <w:bookmarkEnd w:id="2"/>
      <w:r>
        <w:rPr>
          <w:sz w:val="22"/>
          <w:szCs w:val="22"/>
        </w:rPr>
        <w:t xml:space="preserve">The subject of the order is the delivery to the headquarters of the Employer of 4 kg of mercury for the production of MCT epitaxial layers (cadmium and mercury telluride, MCT, </w:t>
      </w:r>
      <w:proofErr w:type="spellStart"/>
      <w:r>
        <w:rPr>
          <w:sz w:val="22"/>
          <w:szCs w:val="22"/>
        </w:rPr>
        <w:t>MerCad</w:t>
      </w:r>
      <w:proofErr w:type="spellEnd"/>
      <w:r>
        <w:rPr>
          <w:sz w:val="22"/>
          <w:szCs w:val="22"/>
        </w:rPr>
        <w:t xml:space="preserve"> Telluride, </w:t>
      </w:r>
      <w:proofErr w:type="spellStart"/>
      <w:r>
        <w:rPr>
          <w:sz w:val="22"/>
          <w:szCs w:val="22"/>
        </w:rPr>
        <w:t>MerCadTel</w:t>
      </w:r>
      <w:proofErr w:type="spellEnd"/>
      <w:r>
        <w:rPr>
          <w:sz w:val="22"/>
          <w:szCs w:val="22"/>
        </w:rPr>
        <w:t xml:space="preserve">, </w:t>
      </w:r>
      <w:proofErr w:type="spellStart"/>
      <w:r>
        <w:rPr>
          <w:sz w:val="22"/>
          <w:szCs w:val="22"/>
        </w:rPr>
        <w:t>MerCaT</w:t>
      </w:r>
      <w:proofErr w:type="spellEnd"/>
      <w:r>
        <w:rPr>
          <w:sz w:val="22"/>
          <w:szCs w:val="22"/>
        </w:rPr>
        <w:t xml:space="preserve"> or CMT.</w:t>
      </w:r>
    </w:p>
    <w:p w14:paraId="635AC0CE"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bookmarkStart w:id="3" w:name="_heading=h.3znysh7" w:colFirst="0" w:colLast="0"/>
      <w:bookmarkEnd w:id="3"/>
      <w:r>
        <w:rPr>
          <w:color w:val="000000"/>
          <w:sz w:val="22"/>
          <w:szCs w:val="22"/>
        </w:rPr>
        <w:t>The</w:t>
      </w:r>
      <w:r>
        <w:t xml:space="preserve"> </w:t>
      </w:r>
      <w:r>
        <w:rPr>
          <w:color w:val="000000"/>
          <w:sz w:val="22"/>
          <w:szCs w:val="22"/>
        </w:rPr>
        <w:t>detailed description of the subject of the contract is provided in Annex 1 to this request.</w:t>
      </w:r>
    </w:p>
    <w:p w14:paraId="2BA3833E"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w:t>
      </w:r>
      <w:r>
        <w:rPr>
          <w:color w:val="000000"/>
          <w:sz w:val="22"/>
          <w:szCs w:val="22"/>
        </w:rPr>
        <w:lastRenderedPageBreak/>
        <w:t xml:space="preserve">equivalent or better technical, operational and utility parameters. All indications of a particular type </w:t>
      </w:r>
      <w:r>
        <w:rPr>
          <w:color w:val="000000"/>
          <w:sz w:val="22"/>
          <w:szCs w:val="22"/>
          <w:u w:val="single"/>
        </w:rPr>
        <w:t>are given as examples for convenience.</w:t>
      </w:r>
    </w:p>
    <w:p w14:paraId="3AEEA44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w:t>
      </w:r>
    </w:p>
    <w:p w14:paraId="7021584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4A44EB92"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510E0E0A" w14:textId="77777777" w:rsidR="00485059" w:rsidRDefault="0079631D">
      <w:pPr>
        <w:pBdr>
          <w:top w:val="nil"/>
          <w:left w:val="nil"/>
          <w:bottom w:val="nil"/>
          <w:right w:val="nil"/>
          <w:between w:val="nil"/>
        </w:pBdr>
        <w:spacing w:after="140" w:line="280" w:lineRule="auto"/>
        <w:ind w:firstLine="720"/>
        <w:jc w:val="both"/>
        <w:rPr>
          <w:color w:val="000000"/>
          <w:sz w:val="22"/>
          <w:szCs w:val="22"/>
        </w:rPr>
      </w:pPr>
      <w:r>
        <w:rPr>
          <w:b/>
          <w:sz w:val="22"/>
          <w:szCs w:val="22"/>
        </w:rPr>
        <w:t>35 days from the date of placing the order by the Ordering Party. The term of the subject of the contract is understood as the delivery of the subject of the contract to the registered office of the Ordering Party in accordance with the offer.</w:t>
      </w:r>
    </w:p>
    <w:p w14:paraId="233D72D8"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076BA0D0"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bookmarkStart w:id="4" w:name="_heading=h.2et92p0" w:colFirst="0" w:colLast="0"/>
      <w:bookmarkEnd w:id="4"/>
      <w:r>
        <w:rPr>
          <w:b/>
          <w:sz w:val="22"/>
          <w:szCs w:val="22"/>
        </w:rPr>
        <w:t>24311310-3</w:t>
      </w:r>
      <w:r>
        <w:rPr>
          <w:sz w:val="22"/>
          <w:szCs w:val="22"/>
        </w:rPr>
        <w:t xml:space="preserve"> Mercury</w:t>
      </w:r>
    </w:p>
    <w:p w14:paraId="470504F5"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269C0A17"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Attachment 2 </w:t>
      </w:r>
      <w:r>
        <w:rPr>
          <w:color w:val="000000"/>
          <w:sz w:val="22"/>
          <w:szCs w:val="22"/>
        </w:rPr>
        <w:t>to the Request for Proposal.</w:t>
      </w:r>
    </w:p>
    <w:p w14:paraId="4B3BDB16"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5250C6D0"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7FE80202"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u w:val="single"/>
        </w:rPr>
      </w:pPr>
      <w:bookmarkStart w:id="5" w:name="_heading=h.tyjcwt" w:colFirst="0" w:colLast="0"/>
      <w:bookmarkEnd w:id="5"/>
      <w:r>
        <w:rPr>
          <w:color w:val="000000"/>
          <w:sz w:val="22"/>
          <w:szCs w:val="22"/>
        </w:rPr>
        <w:t xml:space="preserve">should have the necessary knowledge, experience as well as technical and human potential to perform the Order; </w:t>
      </w:r>
    </w:p>
    <w:p w14:paraId="02A20EE0" w14:textId="77777777" w:rsidR="00485059" w:rsidRDefault="0079631D">
      <w:pPr>
        <w:numPr>
          <w:ilvl w:val="2"/>
          <w:numId w:val="2"/>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14:paraId="1E215C80"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14:paraId="00E66C07" w14:textId="00A13454"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14:paraId="22CB04A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617DAE9D"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2DA0BABB"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0A285321"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4809DF7F"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6B200189"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14:paraId="45E7C56D"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14:paraId="678DCCB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14:paraId="45F3C526"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14:paraId="33DF2AE2"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14:paraId="137CDF0B"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14:paraId="388572A7"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14:paraId="728C3958"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0880EC85"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Attachment </w:t>
      </w:r>
      <w:r>
        <w:rPr>
          <w:b/>
          <w:color w:val="000000"/>
          <w:sz w:val="22"/>
          <w:szCs w:val="22"/>
        </w:rPr>
        <w:t xml:space="preserve">No </w:t>
      </w:r>
      <w:r>
        <w:rPr>
          <w:b/>
          <w:sz w:val="22"/>
          <w:szCs w:val="22"/>
        </w:rPr>
        <w:t>4</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14:paraId="54FE4E0E"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14:paraId="3B056194" w14:textId="77777777" w:rsidR="00485059" w:rsidRDefault="0079631D">
      <w:pPr>
        <w:numPr>
          <w:ilvl w:val="2"/>
          <w:numId w:val="2"/>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14:paraId="587D3338" w14:textId="77777777" w:rsidR="00485059" w:rsidRDefault="00485059">
      <w:pPr>
        <w:pBdr>
          <w:top w:val="nil"/>
          <w:left w:val="nil"/>
          <w:bottom w:val="nil"/>
          <w:right w:val="nil"/>
          <w:between w:val="nil"/>
        </w:pBdr>
        <w:ind w:left="2041"/>
        <w:jc w:val="both"/>
        <w:rPr>
          <w:color w:val="000000"/>
          <w:sz w:val="22"/>
          <w:szCs w:val="22"/>
        </w:rPr>
      </w:pPr>
    </w:p>
    <w:p w14:paraId="5622DDFC" w14:textId="77777777" w:rsidR="00485059" w:rsidRDefault="0079631D">
      <w:pPr>
        <w:numPr>
          <w:ilvl w:val="2"/>
          <w:numId w:val="2"/>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14:paraId="12AAE2F1" w14:textId="77777777" w:rsidR="00485059" w:rsidRDefault="00485059">
      <w:pPr>
        <w:jc w:val="both"/>
        <w:rPr>
          <w:color w:val="000000"/>
          <w:sz w:val="22"/>
          <w:szCs w:val="22"/>
        </w:rPr>
      </w:pPr>
    </w:p>
    <w:p w14:paraId="40D0FB96"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14:paraId="2C5080A3" w14:textId="6D3C9F45"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Attachment </w:t>
      </w:r>
      <w:r w:rsidR="002D70B9">
        <w:rPr>
          <w:b/>
          <w:sz w:val="22"/>
          <w:szCs w:val="22"/>
        </w:rPr>
        <w:t>4</w:t>
      </w:r>
      <w:r>
        <w:rPr>
          <w:color w:val="000000"/>
          <w:sz w:val="22"/>
          <w:szCs w:val="22"/>
        </w:rPr>
        <w:t xml:space="preserve"> . Each of the contractors running jointly for the contract must submit such a statement.</w:t>
      </w:r>
    </w:p>
    <w:p w14:paraId="2763AA35"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To confirm that the offered subject of the contract meets the requirements of the Contracting Party as indicated in the description of the subject of the contract (</w:t>
      </w:r>
      <w:r>
        <w:rPr>
          <w:b/>
          <w:color w:val="000000"/>
          <w:sz w:val="22"/>
          <w:szCs w:val="22"/>
        </w:rPr>
        <w:t>Attachment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3585878D"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5EADECF6" w14:textId="386FB45F" w:rsidR="00485059" w:rsidRDefault="0079631D">
      <w:pPr>
        <w:numPr>
          <w:ilvl w:val="2"/>
          <w:numId w:val="2"/>
        </w:numPr>
        <w:pBdr>
          <w:top w:val="nil"/>
          <w:left w:val="nil"/>
          <w:bottom w:val="nil"/>
          <w:right w:val="nil"/>
          <w:between w:val="nil"/>
        </w:pBdr>
        <w:spacing w:after="100" w:line="280" w:lineRule="auto"/>
        <w:jc w:val="both"/>
        <w:rPr>
          <w:b/>
          <w:color w:val="000000"/>
          <w:sz w:val="22"/>
          <w:szCs w:val="22"/>
        </w:rPr>
      </w:pPr>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Attachment 2</w:t>
      </w:r>
      <w:r>
        <w:rPr>
          <w:color w:val="000000"/>
          <w:sz w:val="22"/>
          <w:szCs w:val="22"/>
        </w:rPr>
        <w:t xml:space="preserve"> - specimen of the tender form), </w:t>
      </w:r>
      <w:r>
        <w:rPr>
          <w:b/>
          <w:color w:val="000000"/>
          <w:sz w:val="22"/>
          <w:szCs w:val="22"/>
        </w:rPr>
        <w:t>valid document - issued not earlier than 3 months before the deadline for submitting bids - coming from the registration authority indicating the persons authorized to represent the Contractor;</w:t>
      </w:r>
    </w:p>
    <w:p w14:paraId="516870CF"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2EBC8E11"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signed offer form and the documents referred to in point 6.1.</w:t>
      </w:r>
    </w:p>
    <w:p w14:paraId="12A2E5FD" w14:textId="77777777" w:rsidR="00485059" w:rsidRDefault="0079631D">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as original documents, and in the case of electronic submission - in the form of scans in PDF format. The offer in the form of a scan may be sent to the e-mail address indicated in point 9.4  (or via the channel indicated in point 9.5)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14:paraId="0E5DDD26"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other required documents may be submitted as originals or copies certified as true copies of the original by the Contractor, and if documents are sent electronically, in the form of scanned images saved in the PDF format;</w:t>
      </w:r>
    </w:p>
    <w:p w14:paraId="41F9C429" w14:textId="61C567FB"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bookmarkStart w:id="6" w:name="_heading=h.gjdgxs" w:colFirst="0" w:colLast="0"/>
      <w:bookmarkEnd w:id="6"/>
      <w:r>
        <w:rPr>
          <w:color w:val="000000"/>
          <w:sz w:val="22"/>
          <w:szCs w:val="22"/>
        </w:rPr>
        <w:t xml:space="preserve">In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Inquiry; The template of the power of attorney is attached as Annex </w:t>
      </w:r>
      <w:r w:rsidR="00951591">
        <w:rPr>
          <w:sz w:val="22"/>
          <w:szCs w:val="22"/>
        </w:rPr>
        <w:t>5</w:t>
      </w:r>
      <w:r>
        <w:rPr>
          <w:color w:val="000000"/>
          <w:sz w:val="22"/>
          <w:szCs w:val="22"/>
        </w:rPr>
        <w:t xml:space="preserve"> to the inquiry;</w:t>
      </w:r>
    </w:p>
    <w:p w14:paraId="25E72C11" w14:textId="2B20130F" w:rsidR="00485059" w:rsidRDefault="0079631D">
      <w:pPr>
        <w:numPr>
          <w:ilvl w:val="2"/>
          <w:numId w:val="2"/>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sidRPr="00951591">
        <w:rPr>
          <w:b/>
          <w:bCs/>
          <w:color w:val="000000"/>
          <w:sz w:val="22"/>
          <w:szCs w:val="22"/>
        </w:rPr>
        <w:t xml:space="preserve">Annex </w:t>
      </w:r>
      <w:r w:rsidR="00951591" w:rsidRPr="00951591">
        <w:rPr>
          <w:b/>
          <w:bCs/>
          <w:sz w:val="22"/>
          <w:szCs w:val="22"/>
        </w:rPr>
        <w:t>6</w:t>
      </w:r>
      <w:r w:rsidRPr="00951591">
        <w:rPr>
          <w:b/>
          <w:bCs/>
          <w:color w:val="000000"/>
          <w:sz w:val="22"/>
          <w:szCs w:val="22"/>
        </w:rPr>
        <w:t xml:space="preserve"> to the Inquiry.</w:t>
      </w:r>
    </w:p>
    <w:p w14:paraId="3092537B" w14:textId="77777777" w:rsidR="00485059" w:rsidRDefault="00485059">
      <w:pPr>
        <w:pBdr>
          <w:top w:val="nil"/>
          <w:left w:val="nil"/>
          <w:bottom w:val="nil"/>
          <w:right w:val="nil"/>
          <w:between w:val="nil"/>
        </w:pBdr>
        <w:ind w:left="2041"/>
        <w:rPr>
          <w:color w:val="000000"/>
          <w:sz w:val="22"/>
          <w:szCs w:val="22"/>
        </w:rPr>
      </w:pPr>
    </w:p>
    <w:p w14:paraId="08038620" w14:textId="0C239432" w:rsidR="00D17C89" w:rsidRDefault="0079631D" w:rsidP="00D17C89">
      <w:pPr>
        <w:numPr>
          <w:ilvl w:val="2"/>
          <w:numId w:val="2"/>
        </w:numPr>
        <w:pBdr>
          <w:top w:val="nil"/>
          <w:left w:val="nil"/>
          <w:bottom w:val="nil"/>
          <w:right w:val="nil"/>
          <w:between w:val="nil"/>
        </w:pBdr>
        <w:spacing w:after="100" w:line="280" w:lineRule="auto"/>
        <w:jc w:val="both"/>
        <w:rPr>
          <w:color w:val="000000"/>
          <w:sz w:val="22"/>
          <w:szCs w:val="22"/>
        </w:rPr>
      </w:pPr>
      <w:r w:rsidRPr="00D17C89">
        <w:rPr>
          <w:color w:val="000000"/>
          <w:sz w:val="22"/>
          <w:szCs w:val="22"/>
        </w:rPr>
        <w:t xml:space="preserve">the offer (App. No. 2) and other declarations (App. 4, 5, 6), registration documents and tender description must be submitted in Polish or English. </w:t>
      </w:r>
      <w:r w:rsidR="00D17C89" w:rsidRPr="00D17C89">
        <w:rPr>
          <w:color w:val="000000"/>
          <w:sz w:val="22"/>
          <w:szCs w:val="22"/>
        </w:rPr>
        <w:t xml:space="preserve">An extract from the company register is allowed in one of the official European languages; The power of attorney should be submitted on the form attached to the inquiry - Appendix No. </w:t>
      </w:r>
      <w:r w:rsidR="00951591">
        <w:rPr>
          <w:color w:val="000000"/>
          <w:sz w:val="22"/>
          <w:szCs w:val="22"/>
        </w:rPr>
        <w:t>5</w:t>
      </w:r>
      <w:r w:rsidR="00D17C89" w:rsidRPr="00D17C89">
        <w:rPr>
          <w:color w:val="000000"/>
          <w:sz w:val="22"/>
          <w:szCs w:val="22"/>
        </w:rPr>
        <w:t>. If the company's registration documents are submitted in a language other than one of the official European languages, the contracting authority will request the Contractor to be translated into one of these languages.</w:t>
      </w:r>
    </w:p>
    <w:p w14:paraId="0A3D3067" w14:textId="77777777" w:rsidR="00D17C89" w:rsidRDefault="00D17C89" w:rsidP="00D17C89">
      <w:pPr>
        <w:pStyle w:val="Akapitzlist"/>
        <w:rPr>
          <w:color w:val="000000"/>
          <w:sz w:val="22"/>
          <w:szCs w:val="22"/>
        </w:rPr>
      </w:pPr>
    </w:p>
    <w:p w14:paraId="2EC0373A" w14:textId="2A1B77CB" w:rsidR="00485059" w:rsidRPr="00D17C89" w:rsidRDefault="00D17C89" w:rsidP="00D17C89">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T</w:t>
      </w:r>
      <w:r w:rsidR="0079631D" w:rsidRPr="00D17C89">
        <w:rPr>
          <w:color w:val="000000"/>
          <w:sz w:val="22"/>
          <w:szCs w:val="22"/>
        </w:rPr>
        <w: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14:paraId="1F137E6B"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49E59A40"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14:paraId="085B58C1"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14:paraId="33688CE0"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4CF14005"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14:paraId="5E31E711"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14:paraId="3B7A5C8E"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603D8435"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14:paraId="3305D02D"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01102FE9"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14:paraId="650A9DC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14:paraId="6354254D"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14:paraId="2E27D4E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Other tenders will rank on subsequent places.</w:t>
      </w:r>
    </w:p>
    <w:p w14:paraId="491EE11B"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14:paraId="40AE9E14"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bookmarkStart w:id="7" w:name="_heading=h.3dy6vkm" w:colFirst="0" w:colLast="0"/>
      <w:bookmarkEnd w:id="7"/>
      <w:r>
        <w:rPr>
          <w:b/>
          <w:color w:val="000000"/>
          <w:sz w:val="24"/>
          <w:szCs w:val="24"/>
        </w:rPr>
        <w:t>Time-limit for submission of tenders</w:t>
      </w:r>
    </w:p>
    <w:p w14:paraId="05F333DF" w14:textId="2503CE1A"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Pr>
          <w:b/>
          <w:color w:val="000000"/>
          <w:sz w:val="22"/>
          <w:szCs w:val="22"/>
        </w:rPr>
        <w:t xml:space="preserve"> </w:t>
      </w:r>
      <w:r w:rsidR="0047292B">
        <w:rPr>
          <w:b/>
          <w:sz w:val="22"/>
          <w:szCs w:val="22"/>
        </w:rPr>
        <w:t>5</w:t>
      </w:r>
      <w:r w:rsidR="00D17C89">
        <w:rPr>
          <w:b/>
          <w:sz w:val="22"/>
          <w:szCs w:val="22"/>
        </w:rPr>
        <w:t xml:space="preserve"> November </w:t>
      </w:r>
      <w:r>
        <w:rPr>
          <w:b/>
          <w:color w:val="000000"/>
          <w:sz w:val="22"/>
          <w:szCs w:val="22"/>
        </w:rPr>
        <w:t>2020.</w:t>
      </w:r>
    </w:p>
    <w:p w14:paraId="5E1993E1"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color w:val="000000"/>
          <w:sz w:val="22"/>
          <w:szCs w:val="22"/>
        </w:rPr>
        <w:t>60 days</w:t>
      </w:r>
      <w:r>
        <w:rPr>
          <w:color w:val="000000"/>
          <w:sz w:val="22"/>
          <w:szCs w:val="22"/>
        </w:rPr>
        <w:t xml:space="preserve">. The period during which the submitted tender is binding commences at the end of the time limit for submission of tenders. </w:t>
      </w:r>
    </w:p>
    <w:p w14:paraId="164AFC7A"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55C490B6"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70F07F64" w14:textId="77777777" w:rsidR="00485059" w:rsidRDefault="0079631D">
      <w:pPr>
        <w:numPr>
          <w:ilvl w:val="2"/>
          <w:numId w:val="2"/>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14:paraId="55540109" w14:textId="77777777" w:rsidR="00485059" w:rsidRDefault="0079631D">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14:paraId="12B88AB8"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14:paraId="4CAE5D28"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14:paraId="583896BB"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14:paraId="0DFB5D8D"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price shall be expressed with two decimal places.</w:t>
      </w:r>
    </w:p>
    <w:p w14:paraId="7F40A6FC"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Attachment 2</w:t>
      </w:r>
      <w:r>
        <w:rPr>
          <w:color w:val="000000"/>
          <w:sz w:val="22"/>
          <w:szCs w:val="22"/>
        </w:rPr>
        <w:t>. The Contractor must submit the tender concerning the performance of the Contract using the specimen of the tender form.</w:t>
      </w:r>
    </w:p>
    <w:p w14:paraId="6E531DA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05A5D003" w14:textId="77777777" w:rsidR="00485059" w:rsidRDefault="0079631D" w:rsidP="00D17C89">
      <w:pPr>
        <w:pBdr>
          <w:top w:val="nil"/>
          <w:left w:val="nil"/>
          <w:bottom w:val="nil"/>
          <w:right w:val="nil"/>
          <w:between w:val="nil"/>
        </w:pBdr>
        <w:spacing w:after="140" w:line="280" w:lineRule="auto"/>
        <w:jc w:val="both"/>
        <w:rPr>
          <w:b/>
          <w:color w:val="000000"/>
        </w:rPr>
      </w:pPr>
      <w:r>
        <w:rPr>
          <w:b/>
          <w:color w:val="000000"/>
        </w:rPr>
        <w:t>9.3.1 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14:paraId="4529C10E" w14:textId="27568FDE" w:rsidR="00485059" w:rsidRDefault="0079631D" w:rsidP="00D17C89">
      <w:pPr>
        <w:pBdr>
          <w:top w:val="nil"/>
          <w:left w:val="nil"/>
          <w:bottom w:val="nil"/>
          <w:right w:val="nil"/>
          <w:between w:val="nil"/>
        </w:pBdr>
        <w:spacing w:after="140" w:line="280" w:lineRule="auto"/>
        <w:jc w:val="both"/>
        <w:rPr>
          <w:b/>
          <w:color w:val="000000"/>
        </w:rPr>
      </w:pPr>
      <w:r>
        <w:rPr>
          <w:b/>
          <w:color w:val="000000"/>
        </w:rPr>
        <w:t xml:space="preserve">9.3.2 power of attorney, if the offer is submitted by a representative - Appendix No. </w:t>
      </w:r>
      <w:r w:rsidR="00951591">
        <w:rPr>
          <w:b/>
        </w:rPr>
        <w:t>5</w:t>
      </w:r>
      <w:r>
        <w:rPr>
          <w:b/>
        </w:rPr>
        <w:t xml:space="preserve"> </w:t>
      </w:r>
      <w:r>
        <w:rPr>
          <w:b/>
          <w:color w:val="000000"/>
        </w:rPr>
        <w:t>to the Inquiry;</w:t>
      </w:r>
    </w:p>
    <w:p w14:paraId="6DE0183D" w14:textId="77777777" w:rsidR="00485059" w:rsidRDefault="0079631D" w:rsidP="00D17C89">
      <w:pPr>
        <w:pBdr>
          <w:top w:val="nil"/>
          <w:left w:val="nil"/>
          <w:bottom w:val="nil"/>
          <w:right w:val="nil"/>
          <w:between w:val="nil"/>
        </w:pBdr>
        <w:spacing w:after="140" w:line="280" w:lineRule="auto"/>
        <w:jc w:val="both"/>
        <w:rPr>
          <w:b/>
          <w:color w:val="000000"/>
        </w:rPr>
      </w:pPr>
      <w:r>
        <w:rPr>
          <w:b/>
          <w:color w:val="000000"/>
        </w:rPr>
        <w:t>9.3.3 description of the offered subject of the contract;</w:t>
      </w:r>
    </w:p>
    <w:p w14:paraId="490EDA6A" w14:textId="77777777" w:rsidR="00485059" w:rsidRDefault="0079631D" w:rsidP="00D17C89">
      <w:pPr>
        <w:pBdr>
          <w:top w:val="nil"/>
          <w:left w:val="nil"/>
          <w:bottom w:val="nil"/>
          <w:right w:val="nil"/>
          <w:between w:val="nil"/>
        </w:pBdr>
        <w:spacing w:after="140" w:line="280" w:lineRule="auto"/>
        <w:jc w:val="both"/>
        <w:rPr>
          <w:b/>
          <w:color w:val="000000"/>
        </w:rPr>
      </w:pPr>
      <w:r>
        <w:rPr>
          <w:b/>
          <w:color w:val="000000"/>
        </w:rPr>
        <w:t xml:space="preserve">9.3.4 a declaration of compliance with the conditions for participation in the procedure together with the documents required therein - Appendix </w:t>
      </w:r>
      <w:r>
        <w:rPr>
          <w:b/>
        </w:rPr>
        <w:t>4</w:t>
      </w:r>
      <w:r>
        <w:rPr>
          <w:b/>
          <w:color w:val="000000"/>
        </w:rPr>
        <w:t xml:space="preserve"> to the Inquiry;</w:t>
      </w:r>
    </w:p>
    <w:p w14:paraId="59DDF0E5" w14:textId="4DD825DA" w:rsidR="00485059" w:rsidRDefault="0079631D" w:rsidP="00D17C89">
      <w:pPr>
        <w:pBdr>
          <w:top w:val="nil"/>
          <w:left w:val="nil"/>
          <w:bottom w:val="nil"/>
          <w:right w:val="nil"/>
          <w:between w:val="nil"/>
        </w:pBdr>
        <w:spacing w:after="140" w:line="280" w:lineRule="auto"/>
        <w:jc w:val="both"/>
        <w:rPr>
          <w:b/>
          <w:color w:val="000000"/>
        </w:rPr>
      </w:pPr>
      <w:r>
        <w:rPr>
          <w:b/>
          <w:color w:val="000000"/>
        </w:rPr>
        <w:t xml:space="preserve">9.3.5 declaration that there are no personal or capital ties between the Contractor and the Ordering Party - Appendix </w:t>
      </w:r>
      <w:r w:rsidR="00951591">
        <w:rPr>
          <w:b/>
        </w:rPr>
        <w:t>4</w:t>
      </w:r>
      <w:r>
        <w:rPr>
          <w:b/>
          <w:color w:val="000000"/>
        </w:rPr>
        <w:t xml:space="preserve"> to the Inquiry;</w:t>
      </w:r>
    </w:p>
    <w:p w14:paraId="326F599C" w14:textId="07FFB898" w:rsidR="00485059" w:rsidRDefault="0079631D" w:rsidP="00D17C89">
      <w:pPr>
        <w:pBdr>
          <w:top w:val="nil"/>
          <w:left w:val="nil"/>
          <w:bottom w:val="nil"/>
          <w:right w:val="nil"/>
          <w:between w:val="nil"/>
        </w:pBdr>
        <w:spacing w:after="140" w:line="280" w:lineRule="auto"/>
        <w:jc w:val="both"/>
        <w:rPr>
          <w:b/>
          <w:color w:val="000000"/>
        </w:rPr>
      </w:pPr>
      <w:r>
        <w:rPr>
          <w:b/>
          <w:color w:val="000000"/>
        </w:rPr>
        <w:t xml:space="preserve">9.3.7 GDPR declaration - Appendix </w:t>
      </w:r>
      <w:r w:rsidR="00951591">
        <w:rPr>
          <w:b/>
        </w:rPr>
        <w:t>6</w:t>
      </w:r>
      <w:r>
        <w:rPr>
          <w:b/>
          <w:color w:val="000000"/>
        </w:rPr>
        <w:t xml:space="preserve"> to the inquiry</w:t>
      </w:r>
    </w:p>
    <w:p w14:paraId="74CD7608"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14:paraId="0936123C" w14:textId="77777777" w:rsidR="00485059" w:rsidRDefault="0079631D">
      <w:pPr>
        <w:numPr>
          <w:ilvl w:val="1"/>
          <w:numId w:val="2"/>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14:paraId="7A664F0D"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14:paraId="41F39BF6"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9B2F81F" w14:textId="77777777" w:rsidR="00485059" w:rsidRDefault="0079631D">
      <w:pPr>
        <w:keepNext/>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Review of the tenders</w:t>
      </w:r>
    </w:p>
    <w:p w14:paraId="21E5893E"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7DCECA0A"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0129DC85"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14:paraId="3DFD8999"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14:paraId="42947DA9"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14:paraId="55A5A1D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14:paraId="4E3ED96C"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5C27EB09"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02709A34"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34D87FE1"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14:paraId="70AE9D0D"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14:paraId="75CBE30C"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29D22FC8"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In relation to the actions taken by the Contracting Party in the course of the contract award procedure, a contractor may submit written comments to the Contracting Party. Comments are submitted within 5 days of the date on which the contractor learned or could have learned about the circumstances that gave rise to submitting the comments, however not later than until the day on which the Contract is awarded.</w:t>
      </w:r>
    </w:p>
    <w:p w14:paraId="7F7FDF3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respond to the comments before the contract is awarded. Lack of response to the comments shall be interpreted as a rejection of the comments by the Contracting Party. </w:t>
      </w:r>
    </w:p>
    <w:p w14:paraId="67A295AB"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 respond to the comments made after the expiry of the time limit, comments presented by an unauthorized entity or if the Contracting Party considers the comments unfounded.</w:t>
      </w:r>
    </w:p>
    <w:p w14:paraId="6354C1EC"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 responding to comments, the Contracting Party provides the response to the contractor who submitted the comments. </w:t>
      </w:r>
    </w:p>
    <w:p w14:paraId="45A05DCA"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If the comments of a contractor are considered, the Contracting Party will repeat the activity to which the comments relate. The Contracting Party will promptly inform all the contractors of the repetition or performance of the activity. </w:t>
      </w:r>
    </w:p>
    <w:p w14:paraId="343AED2B"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8.1</w:t>
      </w:r>
      <w:r>
        <w:rPr>
          <w:b/>
          <w:color w:val="000000"/>
          <w:sz w:val="22"/>
          <w:szCs w:val="22"/>
        </w:rPr>
        <w:t xml:space="preserve"> </w:t>
      </w:r>
      <w:r>
        <w:rPr>
          <w:color w:val="000000"/>
          <w:sz w:val="22"/>
          <w:szCs w:val="22"/>
        </w:rPr>
        <w:t>above. Tenders submitted after the expiry date shall not be reviewed.</w:t>
      </w:r>
    </w:p>
    <w:p w14:paraId="53A95BD8" w14:textId="77777777" w:rsidR="00485059" w:rsidRDefault="0079631D">
      <w:pPr>
        <w:keepNext/>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Contact persons and asking a questions</w:t>
      </w:r>
    </w:p>
    <w:p w14:paraId="2335436A" w14:textId="77777777" w:rsidR="00485059" w:rsidRDefault="0079631D">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11.1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14:paraId="4B8647A5" w14:textId="37F74D66" w:rsidR="00D17C89" w:rsidRDefault="0079631D" w:rsidP="00D17C89">
      <w:pPr>
        <w:widowControl w:val="0"/>
        <w:pBdr>
          <w:top w:val="nil"/>
          <w:left w:val="nil"/>
          <w:bottom w:val="nil"/>
          <w:right w:val="nil"/>
          <w:between w:val="nil"/>
        </w:pBdr>
        <w:spacing w:before="280" w:after="140" w:line="280" w:lineRule="auto"/>
        <w:ind w:left="567"/>
        <w:jc w:val="both"/>
      </w:pPr>
      <w:r>
        <w:rPr>
          <w:b/>
          <w:color w:val="000000"/>
          <w:sz w:val="22"/>
          <w:szCs w:val="22"/>
        </w:rPr>
        <w:t>11.2</w:t>
      </w:r>
      <w:r>
        <w:rPr>
          <w:color w:val="000000"/>
          <w:sz w:val="22"/>
          <w:szCs w:val="22"/>
        </w:rPr>
        <w:t xml:space="preserve"> </w:t>
      </w:r>
      <w:r w:rsidR="00D17C89">
        <w:t xml:space="preserve">The person responsible for contact with the Contractors is </w:t>
      </w:r>
      <w:proofErr w:type="spellStart"/>
      <w:r w:rsidR="00D17C89">
        <w:t>Ms</w:t>
      </w:r>
      <w:proofErr w:type="spellEnd"/>
      <w:r w:rsidR="00D17C89">
        <w:t xml:space="preserve"> Barbara </w:t>
      </w:r>
      <w:proofErr w:type="spellStart"/>
      <w:r w:rsidR="00D17C89">
        <w:t>Cegiełka</w:t>
      </w:r>
      <w:proofErr w:type="spellEnd"/>
    </w:p>
    <w:p w14:paraId="4D67FA18" w14:textId="79775436" w:rsidR="00485059" w:rsidRDefault="00D17C89" w:rsidP="00D17C89">
      <w:pPr>
        <w:widowControl w:val="0"/>
        <w:pBdr>
          <w:top w:val="nil"/>
          <w:left w:val="nil"/>
          <w:bottom w:val="nil"/>
          <w:right w:val="nil"/>
          <w:between w:val="nil"/>
        </w:pBdr>
        <w:spacing w:before="280" w:after="140" w:line="280" w:lineRule="auto"/>
        <w:ind w:left="567"/>
        <w:jc w:val="both"/>
        <w:rPr>
          <w:sz w:val="22"/>
          <w:szCs w:val="22"/>
        </w:rPr>
      </w:pPr>
      <w:proofErr w:type="spellStart"/>
      <w:r>
        <w:t>tel</w:t>
      </w:r>
      <w:proofErr w:type="spellEnd"/>
      <w:r>
        <w:t>: 788 265 258, bcegielka@vigo.com.pl,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14:paraId="748A0D99" w14:textId="77777777" w:rsidR="00485059" w:rsidRDefault="0079631D">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11.3</w:t>
      </w:r>
      <w:r>
        <w:rPr>
          <w:color w:val="000000"/>
          <w:sz w:val="22"/>
          <w:szCs w:val="22"/>
        </w:rPr>
        <w:t xml:space="preserve"> In order to remove doubts, the Ordering Party indicates that the person mentioned above is not authorized to make or receive declarations of will on behalf of the Ordering Party.</w:t>
      </w:r>
    </w:p>
    <w:p w14:paraId="6F389001"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67F96614"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p>
    <w:p w14:paraId="65CE06DF"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2BEA91A6"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14:paraId="60E251B6"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14:paraId="6565AD19" w14:textId="77777777" w:rsidR="00485059" w:rsidRDefault="0079631D">
      <w:pPr>
        <w:widowControl w:val="0"/>
        <w:numPr>
          <w:ilvl w:val="0"/>
          <w:numId w:val="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14:paraId="08AE8D3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Contractor whose tender is chosen by the Contracting Party as the most advantageous one shall execute a contract agreement with the Contracting Party within 30 days of the announcement on the tender selection.</w:t>
      </w:r>
    </w:p>
    <w:p w14:paraId="2B6B8D55" w14:textId="41213D34"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choose the most advantageous tender out of the remaining ones.</w:t>
      </w:r>
    </w:p>
    <w:p w14:paraId="5819CB5F"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Attachment </w:t>
      </w:r>
      <w:r>
        <w:rPr>
          <w:b/>
          <w:sz w:val="22"/>
          <w:szCs w:val="22"/>
        </w:rPr>
        <w:t>3</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14:paraId="709BDF04" w14:textId="77777777" w:rsidR="00485059" w:rsidRDefault="0079631D">
      <w:pPr>
        <w:numPr>
          <w:ilvl w:val="0"/>
          <w:numId w:val="2"/>
        </w:numPr>
        <w:pBdr>
          <w:top w:val="nil"/>
          <w:left w:val="nil"/>
          <w:bottom w:val="nil"/>
          <w:right w:val="nil"/>
          <w:between w:val="nil"/>
        </w:pBdr>
        <w:spacing w:after="100" w:line="280" w:lineRule="auto"/>
        <w:jc w:val="both"/>
        <w:rPr>
          <w:color w:val="000000"/>
          <w:sz w:val="22"/>
          <w:szCs w:val="22"/>
        </w:rPr>
      </w:pPr>
      <w:bookmarkStart w:id="8" w:name="_heading=h.1t3h5sf" w:colFirst="0" w:colLast="0"/>
      <w:bookmarkEnd w:id="8"/>
      <w:r>
        <w:rPr>
          <w:b/>
          <w:color w:val="000000"/>
          <w:sz w:val="24"/>
          <w:szCs w:val="24"/>
        </w:rPr>
        <w:t>Conditions for a significant amendment to or modification of the executed contract</w:t>
      </w:r>
    </w:p>
    <w:p w14:paraId="26C77EB0"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14:paraId="4E53DE82"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amendments and modifications are not relevant within the meaning of the Guidelines on Eligibility of Expenditures under the European Regional Development Fund, the European Social Fund and the Cohesion Fund for the Years 2014-2020;</w:t>
      </w:r>
    </w:p>
    <w:p w14:paraId="028C0064"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there is a change in the generally applicable provisions of law in a scope affecting performance of the Contract, unless such a change was known at the time the tender was placed;</w:t>
      </w:r>
    </w:p>
    <w:p w14:paraId="6A4E9875"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here is an objective need to prepare a product or provide a service in the course of the contract performance, to be agreed between the Parties, which is necessary (indispensable) for the proper performance of the Contract, and which the Parties did not provide for in the Description of the Subject of the Contract;</w:t>
      </w:r>
    </w:p>
    <w:p w14:paraId="643BC054"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of contract performance due to circumstances or events that prevent performance of the contract within the set time limit, which was beyond control of both parties;</w:t>
      </w:r>
    </w:p>
    <w:p w14:paraId="634E5212" w14:textId="77777777" w:rsidR="00485059" w:rsidRDefault="0079631D">
      <w:pPr>
        <w:numPr>
          <w:ilvl w:val="2"/>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there is a possibility to apply new technological or technical solutions that are more advantageous for the Contracting Party than those existing as at the contract execution date. Solutions that meet the Contracting Party’s requirements to a greater extent in terms of maintenance costs, functionality, quality or usability should be treated as more advantageous for the Contracting Party;</w:t>
      </w:r>
    </w:p>
    <w:p w14:paraId="4EAF6A89" w14:textId="77777777" w:rsidR="00485059" w:rsidRDefault="0079631D">
      <w:pPr>
        <w:numPr>
          <w:ilvl w:val="2"/>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amendment or modification does not lead to a change in the nature of the contract and all of the following conditions are met:</w:t>
      </w:r>
    </w:p>
    <w:p w14:paraId="3A96D61F" w14:textId="77777777" w:rsidR="00485059" w:rsidRDefault="0079631D">
      <w:pPr>
        <w:numPr>
          <w:ilvl w:val="3"/>
          <w:numId w:val="5"/>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need for the amendment or modification of the contract is due to circumstances that the Contracting Party, acting with due diligence, could not have foreseen, </w:t>
      </w:r>
    </w:p>
    <w:p w14:paraId="47A1409F" w14:textId="77777777" w:rsidR="00485059" w:rsidRDefault="0079631D">
      <w:pPr>
        <w:numPr>
          <w:ilvl w:val="3"/>
          <w:numId w:val="5"/>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14:paraId="1038FA0B" w14:textId="52100C89" w:rsidR="00485059" w:rsidRPr="00E10A09" w:rsidRDefault="0079631D" w:rsidP="00E10A09">
      <w:pPr>
        <w:pStyle w:val="Akapitzlist"/>
        <w:numPr>
          <w:ilvl w:val="2"/>
          <w:numId w:val="2"/>
        </w:numPr>
        <w:pBdr>
          <w:top w:val="nil"/>
          <w:left w:val="nil"/>
          <w:bottom w:val="nil"/>
          <w:right w:val="nil"/>
          <w:between w:val="nil"/>
        </w:pBdr>
        <w:spacing w:after="100" w:line="280" w:lineRule="auto"/>
        <w:jc w:val="both"/>
        <w:rPr>
          <w:color w:val="000000"/>
          <w:sz w:val="22"/>
          <w:szCs w:val="22"/>
        </w:rPr>
      </w:pPr>
      <w:r w:rsidRPr="00E10A09">
        <w:rPr>
          <w:color w:val="000000"/>
          <w:sz w:val="22"/>
          <w:szCs w:val="22"/>
        </w:rPr>
        <w:t xml:space="preserve">The Contractor to whom the Contracting Party has awarded the contract is to be replaced by a new contractor: </w:t>
      </w:r>
    </w:p>
    <w:p w14:paraId="74DD2925" w14:textId="77777777" w:rsidR="00485059" w:rsidRDefault="0079631D">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14.1.1 - 14.1.7;</w:t>
      </w:r>
    </w:p>
    <w:p w14:paraId="638076A3" w14:textId="77777777" w:rsidR="00485059" w:rsidRDefault="0079631D">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14:paraId="52543157" w14:textId="77777777" w:rsidR="00485059" w:rsidRDefault="0079631D">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Contracting Party taking over the Contractor’s obligations towards its subcontractors,</w:t>
      </w:r>
    </w:p>
    <w:p w14:paraId="75FE858B" w14:textId="77777777" w:rsidR="004E5D1D" w:rsidRPr="004E5D1D" w:rsidRDefault="004E5D1D" w:rsidP="004E5D1D">
      <w:pPr>
        <w:pStyle w:val="Akapitzlist"/>
        <w:numPr>
          <w:ilvl w:val="0"/>
          <w:numId w:val="3"/>
        </w:numPr>
        <w:pBdr>
          <w:top w:val="nil"/>
          <w:left w:val="nil"/>
          <w:bottom w:val="nil"/>
          <w:right w:val="nil"/>
          <w:between w:val="nil"/>
        </w:pBdr>
        <w:spacing w:line="280" w:lineRule="auto"/>
        <w:contextualSpacing w:val="0"/>
        <w:jc w:val="both"/>
        <w:rPr>
          <w:vanish/>
          <w:color w:val="000000"/>
          <w:sz w:val="22"/>
          <w:szCs w:val="22"/>
        </w:rPr>
      </w:pPr>
    </w:p>
    <w:p w14:paraId="43B1D89F"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01905588"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114D6727"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4498A216"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3C3EDF7A"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2DF5817D"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3A53B6EE" w14:textId="77777777" w:rsidR="004E5D1D" w:rsidRPr="004E5D1D" w:rsidRDefault="004E5D1D" w:rsidP="004E5D1D">
      <w:pPr>
        <w:pStyle w:val="Akapitzlist"/>
        <w:numPr>
          <w:ilvl w:val="2"/>
          <w:numId w:val="3"/>
        </w:numPr>
        <w:pBdr>
          <w:top w:val="nil"/>
          <w:left w:val="nil"/>
          <w:bottom w:val="nil"/>
          <w:right w:val="nil"/>
          <w:between w:val="nil"/>
        </w:pBdr>
        <w:spacing w:line="280" w:lineRule="auto"/>
        <w:contextualSpacing w:val="0"/>
        <w:jc w:val="both"/>
        <w:rPr>
          <w:vanish/>
          <w:color w:val="000000"/>
          <w:sz w:val="22"/>
          <w:szCs w:val="22"/>
        </w:rPr>
      </w:pPr>
    </w:p>
    <w:p w14:paraId="02F5C68D" w14:textId="6C2FB446" w:rsidR="00485059" w:rsidRPr="004E5D1D" w:rsidRDefault="0079631D" w:rsidP="004E5D1D">
      <w:pPr>
        <w:pStyle w:val="Akapitzlist"/>
        <w:numPr>
          <w:ilvl w:val="2"/>
          <w:numId w:val="8"/>
        </w:numPr>
        <w:pBdr>
          <w:top w:val="nil"/>
          <w:left w:val="nil"/>
          <w:bottom w:val="nil"/>
          <w:right w:val="nil"/>
          <w:between w:val="nil"/>
        </w:pBdr>
        <w:spacing w:line="280" w:lineRule="auto"/>
        <w:jc w:val="both"/>
        <w:rPr>
          <w:color w:val="000000"/>
          <w:sz w:val="22"/>
          <w:szCs w:val="22"/>
        </w:rPr>
      </w:pPr>
      <w:r w:rsidRPr="004E5D1D">
        <w:rPr>
          <w:color w:val="000000"/>
          <w:sz w:val="22"/>
          <w:szCs w:val="22"/>
        </w:rPr>
        <w:t>the change does not change the nature of the contract, and the total value of the changes is less than the amounts specified in the provisions issued under Article 11 paragraph 8 of the Act of 29 January 2004, Public Procurement Law (Journal of Laws, item 1843, as amended) in the case of contracts for supplies and services, and at the same time is less than 10% of the value of the Order originally specified in the contract,</w:t>
      </w:r>
    </w:p>
    <w:p w14:paraId="29CED0F0" w14:textId="1402021C" w:rsidR="00485059" w:rsidRPr="004E5D1D" w:rsidRDefault="0079631D" w:rsidP="004E5D1D">
      <w:pPr>
        <w:pStyle w:val="Akapitzlist"/>
        <w:numPr>
          <w:ilvl w:val="2"/>
          <w:numId w:val="9"/>
        </w:numPr>
        <w:pBdr>
          <w:top w:val="nil"/>
          <w:left w:val="nil"/>
          <w:bottom w:val="nil"/>
          <w:right w:val="nil"/>
          <w:between w:val="nil"/>
        </w:pBdr>
        <w:spacing w:after="100" w:line="280" w:lineRule="auto"/>
        <w:jc w:val="both"/>
        <w:rPr>
          <w:color w:val="000000"/>
          <w:sz w:val="22"/>
          <w:szCs w:val="22"/>
        </w:rPr>
      </w:pPr>
      <w:r w:rsidRPr="004E5D1D">
        <w:rPr>
          <w:color w:val="000000"/>
          <w:sz w:val="22"/>
          <w:szCs w:val="22"/>
        </w:rPr>
        <w:t>in other cases permitted by the Guidelines on Eligibility of Expenditures under the European Regional Development Fund, the European Social Fund and the Cohesion Fund for the Years 2014-2020.</w:t>
      </w:r>
    </w:p>
    <w:p w14:paraId="7E324620" w14:textId="77777777" w:rsidR="00485059" w:rsidRDefault="0079631D">
      <w:pPr>
        <w:keepNext/>
        <w:numPr>
          <w:ilvl w:val="0"/>
          <w:numId w:val="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69B940A5"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14:paraId="02F1E01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142DDC1F" w14:textId="77777777" w:rsidR="00485059" w:rsidRDefault="0079631D">
      <w:pPr>
        <w:numPr>
          <w:ilvl w:val="1"/>
          <w:numId w:val="2"/>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 xml:space="preserve">Due to the limited functionality of the website https://bazakonkurencyjnosci.funduszeeuropejskie.gov.pl/, the Ordering Party will publish all changes to the Inquiry documentation and the current, current state of the Inquiry documentation at https://vigo.com.pl/o-nas/zamowienia/ . </w:t>
      </w:r>
      <w:r>
        <w:rPr>
          <w:b/>
          <w:color w:val="000000"/>
          <w:sz w:val="22"/>
          <w:szCs w:val="22"/>
          <w:u w:val="single"/>
        </w:rPr>
        <w:t>The Ordering Party has created an Inquiry with the same title and number.</w:t>
      </w:r>
    </w:p>
    <w:p w14:paraId="3E6252FA" w14:textId="77777777" w:rsidR="00485059" w:rsidRDefault="0079631D">
      <w:pPr>
        <w:keepNext/>
        <w:numPr>
          <w:ilvl w:val="0"/>
          <w:numId w:val="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5D1616C3" w14:textId="77777777" w:rsidR="00485059" w:rsidRDefault="0079631D">
      <w:pPr>
        <w:numPr>
          <w:ilvl w:val="1"/>
          <w:numId w:val="2"/>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33741DCB" w14:textId="77777777" w:rsidR="00485059" w:rsidRDefault="0079631D">
      <w:pPr>
        <w:numPr>
          <w:ilvl w:val="2"/>
          <w:numId w:val="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1 – Description of the subject of the contract; </w:t>
      </w:r>
    </w:p>
    <w:p w14:paraId="08A7BE41" w14:textId="77777777" w:rsidR="00485059" w:rsidRDefault="0079631D">
      <w:pPr>
        <w:numPr>
          <w:ilvl w:val="2"/>
          <w:numId w:val="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2 – Specimen of </w:t>
      </w:r>
      <w:r>
        <w:rPr>
          <w:sz w:val="22"/>
          <w:szCs w:val="22"/>
        </w:rPr>
        <w:t>the proposal</w:t>
      </w:r>
      <w:r>
        <w:rPr>
          <w:color w:val="000000"/>
          <w:sz w:val="22"/>
          <w:szCs w:val="22"/>
        </w:rPr>
        <w:t xml:space="preserve"> form;</w:t>
      </w:r>
    </w:p>
    <w:p w14:paraId="263A7E5C" w14:textId="77777777" w:rsidR="00485059" w:rsidRDefault="0079631D">
      <w:pPr>
        <w:numPr>
          <w:ilvl w:val="2"/>
          <w:numId w:val="2"/>
        </w:numPr>
        <w:spacing w:after="80" w:line="280" w:lineRule="auto"/>
        <w:jc w:val="both"/>
        <w:rPr>
          <w:sz w:val="22"/>
          <w:szCs w:val="22"/>
        </w:rPr>
      </w:pPr>
      <w:r>
        <w:rPr>
          <w:sz w:val="22"/>
          <w:szCs w:val="22"/>
        </w:rPr>
        <w:lastRenderedPageBreak/>
        <w:t>Attachment number  3 – specimen form of the contract agreement between the Contracting Party and the Contractor</w:t>
      </w:r>
    </w:p>
    <w:p w14:paraId="2D0E527C" w14:textId="7568DA05" w:rsidR="00485059" w:rsidRDefault="0079631D">
      <w:pPr>
        <w:numPr>
          <w:ilvl w:val="2"/>
          <w:numId w:val="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w:t>
      </w:r>
      <w:r>
        <w:rPr>
          <w:sz w:val="22"/>
          <w:szCs w:val="22"/>
        </w:rPr>
        <w:t>4</w:t>
      </w:r>
      <w:r>
        <w:rPr>
          <w:color w:val="000000"/>
          <w:sz w:val="22"/>
          <w:szCs w:val="22"/>
        </w:rPr>
        <w:t> – Contractor’s statement on fulfillment of conditions for participation in the contract award procedure;</w:t>
      </w:r>
      <w:r w:rsidR="0047292B" w:rsidRPr="0047292B">
        <w:t xml:space="preserve"> </w:t>
      </w:r>
      <w:r w:rsidR="0047292B" w:rsidRPr="0047292B">
        <w:rPr>
          <w:color w:val="000000"/>
          <w:sz w:val="22"/>
          <w:szCs w:val="22"/>
        </w:rPr>
        <w:t>- Contractor’s statement on the lack of personal and capital ties between the Contractor and the Contracting Party</w:t>
      </w:r>
    </w:p>
    <w:p w14:paraId="3E3AEAB8" w14:textId="39302BC9" w:rsidR="00485059" w:rsidRDefault="0079631D">
      <w:pPr>
        <w:numPr>
          <w:ilvl w:val="2"/>
          <w:numId w:val="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w:t>
      </w:r>
      <w:r w:rsidR="0047292B">
        <w:rPr>
          <w:sz w:val="22"/>
          <w:szCs w:val="22"/>
        </w:rPr>
        <w:t>5</w:t>
      </w:r>
      <w:r>
        <w:rPr>
          <w:color w:val="000000"/>
          <w:sz w:val="22"/>
          <w:szCs w:val="22"/>
        </w:rPr>
        <w:t>- template of the power of attorney.</w:t>
      </w:r>
    </w:p>
    <w:p w14:paraId="754B6444" w14:textId="66898053" w:rsidR="00485059" w:rsidRDefault="0079631D">
      <w:pPr>
        <w:numPr>
          <w:ilvl w:val="2"/>
          <w:numId w:val="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w:t>
      </w:r>
      <w:r w:rsidR="0047292B">
        <w:rPr>
          <w:sz w:val="22"/>
          <w:szCs w:val="22"/>
        </w:rPr>
        <w:t>6</w:t>
      </w:r>
      <w:r>
        <w:rPr>
          <w:color w:val="000000"/>
          <w:sz w:val="22"/>
          <w:szCs w:val="22"/>
        </w:rPr>
        <w:t xml:space="preserve"> - GDPR Statement</w:t>
      </w:r>
    </w:p>
    <w:p w14:paraId="68527338" w14:textId="77777777" w:rsidR="00485059" w:rsidRDefault="00485059">
      <w:pPr>
        <w:pBdr>
          <w:top w:val="nil"/>
          <w:left w:val="nil"/>
          <w:bottom w:val="nil"/>
          <w:right w:val="nil"/>
          <w:between w:val="nil"/>
        </w:pBdr>
        <w:spacing w:after="140" w:line="290" w:lineRule="auto"/>
        <w:ind w:left="2041" w:hanging="794"/>
        <w:jc w:val="both"/>
        <w:rPr>
          <w:color w:val="000000"/>
          <w:sz w:val="2"/>
          <w:szCs w:val="2"/>
        </w:rPr>
      </w:pPr>
    </w:p>
    <w:p w14:paraId="3E1B288D" w14:textId="77777777" w:rsidR="00485059" w:rsidRDefault="00485059">
      <w:pPr>
        <w:pBdr>
          <w:top w:val="nil"/>
          <w:left w:val="nil"/>
          <w:bottom w:val="nil"/>
          <w:right w:val="nil"/>
          <w:between w:val="nil"/>
        </w:pBdr>
        <w:spacing w:line="280" w:lineRule="auto"/>
        <w:ind w:left="567" w:hanging="567"/>
        <w:jc w:val="both"/>
        <w:rPr>
          <w:b/>
          <w:color w:val="000000"/>
          <w:sz w:val="22"/>
          <w:szCs w:val="22"/>
        </w:rPr>
      </w:pPr>
    </w:p>
    <w:sectPr w:rsidR="00485059">
      <w:headerReference w:type="default" r:id="rId9"/>
      <w:footerReference w:type="default" r:id="rId10"/>
      <w:headerReference w:type="first" r:id="rId11"/>
      <w:footerReference w:type="first" r:id="rId12"/>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E108" w14:textId="77777777" w:rsidR="00BA1C69" w:rsidRDefault="00BA1C69">
      <w:r>
        <w:separator/>
      </w:r>
    </w:p>
  </w:endnote>
  <w:endnote w:type="continuationSeparator" w:id="0">
    <w:p w14:paraId="6314A8F1" w14:textId="77777777" w:rsidR="00BA1C69" w:rsidRDefault="00BA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0DE5" w14:textId="77777777" w:rsidR="0047292B" w:rsidRDefault="0047292B">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r>
      <w:rPr>
        <w:color w:val="000000"/>
        <w:sz w:val="24"/>
        <w:szCs w:val="24"/>
      </w:rPr>
      <w:t xml:space="preserve"> / 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ADF2" w14:textId="77777777" w:rsidR="0047292B" w:rsidRDefault="0047292B">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27C4FBA0" w14:textId="77777777" w:rsidR="0047292B" w:rsidRDefault="0047292B">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4349" w14:textId="77777777" w:rsidR="00BA1C69" w:rsidRDefault="00BA1C69">
      <w:r>
        <w:separator/>
      </w:r>
    </w:p>
  </w:footnote>
  <w:footnote w:type="continuationSeparator" w:id="0">
    <w:p w14:paraId="0DBFAA9B" w14:textId="77777777" w:rsidR="00BA1C69" w:rsidRDefault="00BA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C505" w14:textId="77777777" w:rsidR="0047292B" w:rsidRDefault="0047292B">
    <w:pPr>
      <w:spacing w:after="160" w:line="259" w:lineRule="auto"/>
      <w:jc w:val="both"/>
      <w:rPr>
        <w:color w:val="000000"/>
        <w:sz w:val="16"/>
        <w:szCs w:val="16"/>
      </w:rPr>
    </w:pPr>
    <w:r>
      <w:rPr>
        <w:noProof/>
      </w:rPr>
      <w:drawing>
        <wp:anchor distT="0" distB="0" distL="0" distR="0" simplePos="0" relativeHeight="251658240" behindDoc="0" locked="0" layoutInCell="1" hidden="0" allowOverlap="1" wp14:anchorId="4140328D" wp14:editId="56E0183F">
          <wp:simplePos x="0" y="0"/>
          <wp:positionH relativeFrom="column">
            <wp:posOffset>-648172</wp:posOffset>
          </wp:positionH>
          <wp:positionV relativeFrom="paragraph">
            <wp:posOffset>-352424</wp:posOffset>
          </wp:positionV>
          <wp:extent cx="6697028" cy="567087"/>
          <wp:effectExtent l="0" t="0" r="0" b="0"/>
          <wp:wrapTopAndBottom distT="0" distB="0"/>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97028" cy="567087"/>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6E0F1E99" wp14:editId="5515BB22">
              <wp:simplePos x="0" y="0"/>
              <wp:positionH relativeFrom="column">
                <wp:posOffset>5562600</wp:posOffset>
              </wp:positionH>
              <wp:positionV relativeFrom="paragraph">
                <wp:posOffset>304800</wp:posOffset>
              </wp:positionV>
              <wp:extent cx="904875" cy="370840"/>
              <wp:effectExtent l="0" t="0" r="0" b="0"/>
              <wp:wrapSquare wrapText="bothSides" distT="0" distB="0" distL="0" distR="0"/>
              <wp:docPr id="1040" name="Prostokąt 1040"/>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278F347A" w14:textId="77777777" w:rsidR="0047292B" w:rsidRDefault="0047292B">
                          <w:pPr>
                            <w:textDirection w:val="btLr"/>
                          </w:pPr>
                        </w:p>
                      </w:txbxContent>
                    </wps:txbx>
                    <wps:bodyPr spcFirstLastPara="1" wrap="square" lIns="91425" tIns="45700" rIns="91425" bIns="45700" anchor="t" anchorCtr="0">
                      <a:noAutofit/>
                    </wps:bodyPr>
                  </wps:wsp>
                </a:graphicData>
              </a:graphic>
            </wp:anchor>
          </w:drawing>
        </mc:Choice>
        <mc:Fallback>
          <w:pict>
            <v:rect w14:anchorId="6E0F1E99" id="Prostokąt 1040" o:spid="_x0000_s1026" style="position:absolute;left:0;text-align:left;margin-left:438pt;margin-top:24pt;width:71.25pt;height:29.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AX2A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" filled="f" stroked="f">
              <v:textbox inset="2.53958mm,1.2694mm,2.53958mm,1.2694mm">
                <w:txbxContent>
                  <w:p w14:paraId="278F347A" w14:textId="77777777" w:rsidR="0047292B" w:rsidRDefault="0047292B">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5C34" w14:textId="77777777" w:rsidR="0047292B" w:rsidRDefault="0047292B">
    <w:pPr>
      <w:widowControl w:val="0"/>
      <w:pBdr>
        <w:top w:val="nil"/>
        <w:left w:val="nil"/>
        <w:bottom w:val="nil"/>
        <w:right w:val="nil"/>
        <w:between w:val="nil"/>
      </w:pBdr>
      <w:spacing w:line="276" w:lineRule="auto"/>
      <w:rPr>
        <w:color w:val="40404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7292B" w14:paraId="22769F08" w14:textId="77777777">
      <w:trPr>
        <w:trHeight w:val="840"/>
      </w:trPr>
      <w:tc>
        <w:tcPr>
          <w:tcW w:w="4462" w:type="dxa"/>
          <w:tcBorders>
            <w:top w:val="nil"/>
            <w:left w:val="nil"/>
            <w:bottom w:val="nil"/>
            <w:right w:val="nil"/>
          </w:tcBorders>
        </w:tcPr>
        <w:p w14:paraId="4B42EA37" w14:textId="77777777" w:rsidR="0047292B" w:rsidRDefault="0047292B">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3DB8E264" wp14:editId="78D1E466">
                <wp:extent cx="1105535" cy="589915"/>
                <wp:effectExtent l="0" t="0" r="0" b="0"/>
                <wp:docPr id="104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1202A14" w14:textId="77777777" w:rsidR="0047292B" w:rsidRDefault="0047292B">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29FB22E6" w14:textId="77777777" w:rsidR="0047292B" w:rsidRDefault="0047292B">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27342799" wp14:editId="16DFECE1">
                <wp:extent cx="1638935" cy="561340"/>
                <wp:effectExtent l="0" t="0" r="0" b="0"/>
                <wp:docPr id="104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BBFC8B4" w14:textId="77777777" w:rsidR="0047292B" w:rsidRDefault="0047292B">
    <w:pPr>
      <w:pBdr>
        <w:top w:val="nil"/>
        <w:left w:val="nil"/>
        <w:bottom w:val="nil"/>
        <w:right w:val="nil"/>
        <w:between w:val="nil"/>
      </w:pBdr>
      <w:tabs>
        <w:tab w:val="center" w:pos="4320"/>
        <w:tab w:val="right" w:pos="8640"/>
      </w:tabs>
      <w:rPr>
        <w:color w:val="000000"/>
        <w:sz w:val="24"/>
        <w:szCs w:val="24"/>
      </w:rPr>
    </w:pPr>
  </w:p>
  <w:p w14:paraId="47837037" w14:textId="77777777" w:rsidR="0047292B" w:rsidRDefault="0047292B">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874CB1E" w14:textId="77777777" w:rsidR="0047292B" w:rsidRDefault="0047292B">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394"/>
    <w:multiLevelType w:val="multilevel"/>
    <w:tmpl w:val="DAB60ECC"/>
    <w:lvl w:ilvl="0">
      <w:start w:val="14"/>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4.1.10"/>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0C787DB0"/>
    <w:multiLevelType w:val="multilevel"/>
    <w:tmpl w:val="193C5DB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4080F8D"/>
    <w:multiLevelType w:val="multilevel"/>
    <w:tmpl w:val="7CE49BF2"/>
    <w:lvl w:ilvl="0">
      <w:start w:val="14"/>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4.1.9"/>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2C17247E"/>
    <w:multiLevelType w:val="multilevel"/>
    <w:tmpl w:val="73504E7E"/>
    <w:lvl w:ilvl="0">
      <w:start w:val="1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812A8B"/>
    <w:multiLevelType w:val="multilevel"/>
    <w:tmpl w:val="96666A3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7FD4275"/>
    <w:multiLevelType w:val="multilevel"/>
    <w:tmpl w:val="AD6ED9C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6DBA53AA"/>
    <w:multiLevelType w:val="multilevel"/>
    <w:tmpl w:val="C526EFD8"/>
    <w:lvl w:ilvl="0">
      <w:start w:val="14"/>
      <w:numFmt w:val="decimal"/>
      <w:lvlText w:val="%1"/>
      <w:lvlJc w:val="left"/>
      <w:pPr>
        <w:ind w:left="500" w:hanging="500"/>
      </w:pPr>
      <w:rPr>
        <w:rFonts w:hint="default"/>
      </w:rPr>
    </w:lvl>
    <w:lvl w:ilvl="1">
      <w:start w:val="18"/>
      <w:numFmt w:val="decimal"/>
      <w:lvlText w:val="%1.%2"/>
      <w:lvlJc w:val="left"/>
      <w:pPr>
        <w:ind w:left="1122" w:hanging="50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7" w15:restartNumberingAfterBreak="0">
    <w:nsid w:val="7D226093"/>
    <w:multiLevelType w:val="multilevel"/>
    <w:tmpl w:val="791471AC"/>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D87F97"/>
    <w:multiLevelType w:val="multilevel"/>
    <w:tmpl w:val="0FC667C4"/>
    <w:lvl w:ilvl="0">
      <w:start w:val="14"/>
      <w:numFmt w:val="decimal"/>
      <w:pStyle w:val="Nagwek1Hoofdstukkop"/>
      <w:lvlText w:val="%1"/>
      <w:lvlJc w:val="left"/>
      <w:pPr>
        <w:ind w:left="567" w:hanging="567"/>
      </w:pPr>
      <w:rPr>
        <w:b/>
        <w:i w:val="0"/>
        <w:sz w:val="22"/>
        <w:szCs w:val="22"/>
        <w:vertAlign w:val="baseline"/>
      </w:rPr>
    </w:lvl>
    <w:lvl w:ilvl="1">
      <w:start w:val="1"/>
      <w:numFmt w:val="decimal"/>
      <w:pStyle w:val="Nagwek21"/>
      <w:lvlText w:val="%1.%2"/>
      <w:lvlJc w:val="left"/>
      <w:pPr>
        <w:ind w:left="1247" w:hanging="680"/>
      </w:pPr>
      <w:rPr>
        <w:b/>
        <w:i w:val="0"/>
        <w:sz w:val="21"/>
        <w:szCs w:val="21"/>
        <w:vertAlign w:val="baseline"/>
      </w:rPr>
    </w:lvl>
    <w:lvl w:ilvl="2">
      <w:start w:val="1"/>
      <w:numFmt w:val="decimal"/>
      <w:pStyle w:val="Nagwek31"/>
      <w:lvlText w:val="14.1.8"/>
      <w:lvlJc w:val="left"/>
      <w:pPr>
        <w:ind w:left="1275" w:hanging="795"/>
      </w:pPr>
      <w:rPr>
        <w:b/>
        <w:i w:val="0"/>
        <w:sz w:val="17"/>
        <w:szCs w:val="17"/>
        <w:vertAlign w:val="baseline"/>
      </w:rPr>
    </w:lvl>
    <w:lvl w:ilvl="3">
      <w:start w:val="1"/>
      <w:numFmt w:val="decimal"/>
      <w:pStyle w:val="Nagwek41"/>
      <w:lvlText w:val="(%4)"/>
      <w:lvlJc w:val="left"/>
      <w:pPr>
        <w:ind w:left="2722" w:hanging="681"/>
      </w:pPr>
      <w:rPr>
        <w:rFonts w:ascii="Calibri" w:eastAsia="Calibri" w:hAnsi="Calibri" w:cs="Calibri"/>
        <w:sz w:val="22"/>
        <w:szCs w:val="22"/>
        <w:vertAlign w:val="baseline"/>
      </w:rPr>
    </w:lvl>
    <w:lvl w:ilvl="4">
      <w:start w:val="1"/>
      <w:numFmt w:val="lowerLetter"/>
      <w:pStyle w:val="Nagwek51"/>
      <w:lvlText w:val="(%5)"/>
      <w:lvlJc w:val="left"/>
      <w:pPr>
        <w:ind w:left="3289" w:hanging="567"/>
      </w:pPr>
      <w:rPr>
        <w:vertAlign w:val="baseline"/>
      </w:rPr>
    </w:lvl>
    <w:lvl w:ilvl="5">
      <w:start w:val="1"/>
      <w:numFmt w:val="upperRoman"/>
      <w:pStyle w:val="Nagwek61"/>
      <w:lvlText w:val="(%6)"/>
      <w:lvlJc w:val="left"/>
      <w:pPr>
        <w:ind w:left="3969" w:hanging="680"/>
      </w:pPr>
      <w:rPr>
        <w:vertAlign w:val="baseline"/>
      </w:rPr>
    </w:lvl>
    <w:lvl w:ilvl="6">
      <w:start w:val="1"/>
      <w:numFmt w:val="decimal"/>
      <w:pStyle w:val="Nagwek71"/>
      <w:lvlText w:val=""/>
      <w:lvlJc w:val="left"/>
      <w:pPr>
        <w:ind w:left="3969" w:hanging="680"/>
      </w:pPr>
      <w:rPr>
        <w:vertAlign w:val="baseline"/>
      </w:rPr>
    </w:lvl>
    <w:lvl w:ilvl="7">
      <w:start w:val="1"/>
      <w:numFmt w:val="decimal"/>
      <w:pStyle w:val="Nagwek81"/>
      <w:lvlText w:val=""/>
      <w:lvlJc w:val="left"/>
      <w:pPr>
        <w:ind w:left="3969" w:hanging="680"/>
      </w:pPr>
      <w:rPr>
        <w:vertAlign w:val="baseline"/>
      </w:rPr>
    </w:lvl>
    <w:lvl w:ilvl="8">
      <w:start w:val="1"/>
      <w:numFmt w:val="decimal"/>
      <w:pStyle w:val="Nagwek91"/>
      <w:lvlText w:val=""/>
      <w:lvlJc w:val="left"/>
      <w:pPr>
        <w:ind w:left="3969" w:hanging="680"/>
      </w:pPr>
      <w:rPr>
        <w:vertAlign w:val="baseline"/>
      </w:rPr>
    </w:lvl>
  </w:abstractNum>
  <w:num w:numId="1">
    <w:abstractNumId w:val="4"/>
  </w:num>
  <w:num w:numId="2">
    <w:abstractNumId w:val="5"/>
  </w:num>
  <w:num w:numId="3">
    <w:abstractNumId w:val="2"/>
  </w:num>
  <w:num w:numId="4">
    <w:abstractNumId w:val="0"/>
  </w:num>
  <w:num w:numId="5">
    <w:abstractNumId w:val="1"/>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59"/>
    <w:rsid w:val="002D70B9"/>
    <w:rsid w:val="0047292B"/>
    <w:rsid w:val="00485059"/>
    <w:rsid w:val="004E5D1D"/>
    <w:rsid w:val="004F053D"/>
    <w:rsid w:val="00633046"/>
    <w:rsid w:val="0079631D"/>
    <w:rsid w:val="009015C5"/>
    <w:rsid w:val="00951591"/>
    <w:rsid w:val="00BA1C69"/>
    <w:rsid w:val="00D17C89"/>
    <w:rsid w:val="00E1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5BEA"/>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gWVoIn24fK6CMFOlRqfy20yeQ==">AMUW2mUBmd23m5ZG6LhR7UicTKsX64ja2BpSxQyRAat/PzqaOn1QU+K4pC6TY69aOZJUil6v4iixlWXcTG99GBPhi0e/8Vhf77kg+fqVZWbQu37f2IBEJG5sEaHosX3Z9wFsu/zbmDxGashmIInqEYGNJGzsyF4/g/BHC/k1MDSo+r3oRhlzymHnSpKTloeTrvba7qYWHzQVix8qDDeoQlbnuOyz6eq1t1G3dSyf3ytB0Xv/pZ4vc4WB+9caKQWMhMkEerTIM0ef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12</Pages>
  <Words>4132</Words>
  <Characters>24792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2020-09-09T11:12:00Z</dcterms:created>
  <dcterms:modified xsi:type="dcterms:W3CDTF">2020-10-24T15:27:00Z</dcterms:modified>
</cp:coreProperties>
</file>