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August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34 of 2</w:t>
      </w:r>
      <w:r w:rsidDel="00000000" w:rsidR="00000000" w:rsidRPr="00000000">
        <w:rPr>
          <w:rFonts w:ascii="Times New Roman" w:cs="Times New Roman" w:eastAsia="Times New Roman" w:hAnsi="Times New Roman"/>
          <w:b w:val="1"/>
          <w:vertAlign w:val="superscript"/>
          <w:rtl w:val="0"/>
        </w:rPr>
        <w:t xml:space="preserve">nd</w:t>
      </w:r>
      <w:r w:rsidDel="00000000" w:rsidR="00000000" w:rsidRPr="00000000">
        <w:rPr>
          <w:rFonts w:ascii="Times New Roman" w:cs="Times New Roman" w:eastAsia="Times New Roman" w:hAnsi="Times New Roman"/>
          <w:b w:val="1"/>
          <w:rtl w:val="0"/>
        </w:rPr>
        <w:t xml:space="preserve"> August 2021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changed on 9 August 2021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quotation relates to the delivery of goods needed for comprehensive implementation by VIGO System Spółka Akcyjna with headquarters in Ożarów Mazowiecki, the project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w:t>
        <w:tab/>
        <w:tab/>
        <w:tab/>
        <w:tab/>
        <w:tab/>
        <w:tab/>
        <w:tab/>
        <w:tab/>
      </w:r>
      <w:r w:rsidDel="00000000" w:rsidR="00000000" w:rsidRPr="00000000">
        <w:rPr>
          <w:rtl w:val="0"/>
        </w:rPr>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subject of the Order is the supply of goods needed for the implementation by the Ordering Party of the project called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the delivery of: </w:t>
      </w:r>
    </w:p>
    <w:p w:rsidR="00000000" w:rsidDel="00000000" w:rsidP="00000000" w:rsidRDefault="00000000" w:rsidRPr="00000000" w14:paraId="0000000C">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pcs. of thermoelectric coolers 3TE on TO8 header – 12 pin – TO812.3MC0404410M</w:t>
        <w:tab/>
      </w:r>
    </w:p>
    <w:p w:rsidR="00000000" w:rsidDel="00000000" w:rsidP="00000000" w:rsidRDefault="00000000" w:rsidRPr="00000000" w14:paraId="0000000D">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pcs. of thermoelectric coolers 3TE on TO8 header – 12 pin – TO812.3MC0605015M</w:t>
      </w:r>
    </w:p>
    <w:p w:rsidR="00000000" w:rsidDel="00000000" w:rsidP="00000000" w:rsidRDefault="00000000" w:rsidRPr="00000000" w14:paraId="0000000E">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pcs. of thermoelectric coolers 3TE on TO8 header – 16 pin – TO816.3MC0605015M</w:t>
      </w:r>
    </w:p>
    <w:p w:rsidR="00000000" w:rsidDel="00000000" w:rsidP="00000000" w:rsidRDefault="00000000" w:rsidRPr="00000000" w14:paraId="0000000F">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pcs. of TO8 headers – 12 pin</w:t>
      </w:r>
    </w:p>
    <w:p w:rsidR="00000000" w:rsidDel="00000000" w:rsidP="00000000" w:rsidRDefault="00000000" w:rsidRPr="00000000" w14:paraId="00000010">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pcs. of TO39 headers – 8 pin,</w:t>
      </w:r>
    </w:p>
    <w:p w:rsidR="00000000" w:rsidDel="00000000" w:rsidP="00000000" w:rsidRDefault="00000000" w:rsidRPr="00000000" w14:paraId="00000011">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pcs. of thermoelectric coolers on TO8 header – 3MC06-071-15</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whose detailed descriptions are included in attachments from 1 to 6 to this Request for Proposals.</w:t>
      </w: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accept submitting partial offers. The Contractor might submit a partial offer in part or parts described in attachments from 1 to 6 of this Request for Proposals.</w:t>
      </w:r>
      <w:r w:rsidDel="00000000" w:rsidR="00000000" w:rsidRPr="00000000">
        <w:rPr>
          <w:rtl w:val="0"/>
        </w:rPr>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variants.</w:t>
      </w:r>
    </w:p>
    <w:p w:rsidR="00000000" w:rsidDel="00000000" w:rsidP="00000000" w:rsidRDefault="00000000" w:rsidRPr="00000000" w14:paraId="00000016">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soon as possible, no later than 10 weeks from the date of placing the order.</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B">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3znysh7" w:id="2"/>
      <w:bookmarkEnd w:id="2"/>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in question should submit a signed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proposal</w:t>
      </w:r>
      <w:r w:rsidDel="00000000" w:rsidR="00000000" w:rsidRPr="00000000">
        <w:rPr>
          <w:rFonts w:ascii="Times New Roman" w:cs="Times New Roman" w:eastAsia="Times New Roman" w:hAnsi="Times New Roman"/>
          <w:b w:val="1"/>
          <w:color w:val="000000"/>
          <w:rtl w:val="0"/>
        </w:rPr>
        <w:t xml:space="preserve"> form</w:t>
      </w:r>
      <w:r w:rsidDel="00000000" w:rsidR="00000000" w:rsidRPr="00000000">
        <w:rPr>
          <w:rFonts w:ascii="Times New Roman" w:cs="Times New Roman" w:eastAsia="Times New Roman" w:hAnsi="Times New Roman"/>
          <w:color w:val="000000"/>
          <w:rtl w:val="0"/>
        </w:rPr>
        <w:t xml:space="preserve">, prepared according to the specimen template </w:t>
      </w:r>
      <w:r w:rsidDel="00000000" w:rsidR="00000000" w:rsidRPr="00000000">
        <w:rPr>
          <w:rFonts w:ascii="Times New Roman" w:cs="Times New Roman" w:eastAsia="Times New Roman" w:hAnsi="Times New Roman"/>
          <w:b w:val="1"/>
          <w:color w:val="000000"/>
          <w:rtl w:val="0"/>
        </w:rPr>
        <w:t xml:space="preserve">in Annex </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color w:val="000000"/>
          <w:rtl w:val="0"/>
        </w:rPr>
        <w:t xml:space="preserve"> to the Inquiry.</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E">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3"/>
      <w:bookmarkEnd w:id="3"/>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F">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20">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21">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color w:val="000000"/>
          <w:rtl w:val="0"/>
        </w:rPr>
        <w:t xml:space="preserve">in Annex </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color w:val="000000"/>
          <w:rtl w:val="0"/>
        </w:rPr>
        <w:t xml:space="preserve"> to the Inquiry.</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6">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2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4"/>
      <w:bookmarkEnd w:id="4"/>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contracting authority requires that the contractor applying for the award of the contract together with the offer and statements (prepared in accordance with Annex No. </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color w:val="000000"/>
          <w:rtl w:val="0"/>
        </w:rPr>
        <w:t xml:space="preserve"> - proposal form) submit a </w:t>
      </w:r>
      <w:r w:rsidDel="00000000" w:rsidR="00000000" w:rsidRPr="00000000">
        <w:rPr>
          <w:rFonts w:ascii="Times New Roman" w:cs="Times New Roman" w:eastAsia="Times New Roman" w:hAnsi="Times New Roman"/>
          <w:b w:val="1"/>
          <w:color w:val="000000"/>
          <w:u w:val="single"/>
          <w:rtl w:val="0"/>
        </w:rPr>
        <w:t xml:space="preserve">document issued by the registration authority competent for the Contractor, indicating the persons authorized to represent the Contractor;</w:t>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The offer or a power of attorney and decryption of the offer should be submitted in Polish or English in accordance with Annex 7, an extract from the register is allowed in one of the European official languages; The power of attorney should be submitted on the form attached to the question in question - Appendix 8. If the company registration documents are submitted in a language other than one of the official European languages, the contracting authority requires the Contractor to submit the original together with a translation into one of abovementioned languages.</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6">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part of the order (attachments from 1 to 6) shall be evaluated separately, in accordance with the abovementioned criterion.</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in certain part of the order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retains the right to </w:t>
      </w:r>
      <w:r w:rsidDel="00000000" w:rsidR="00000000" w:rsidRPr="00000000">
        <w:rPr>
          <w:rFonts w:ascii="Times New Roman" w:cs="Times New Roman" w:eastAsia="Times New Roman" w:hAnsi="Times New Roman"/>
          <w:rtl w:val="0"/>
        </w:rPr>
        <w:t xml:space="preserve">select an offer</w:t>
      </w:r>
      <w:r w:rsidDel="00000000" w:rsidR="00000000" w:rsidRPr="00000000">
        <w:rPr>
          <w:rFonts w:ascii="Times New Roman" w:cs="Times New Roman" w:eastAsia="Times New Roman" w:hAnsi="Times New Roman"/>
          <w:color w:val="000000"/>
          <w:rtl w:val="0"/>
        </w:rPr>
        <w:t xml:space="preserve"> in only this part of the order, in which the Contractor’s offer has obtained the highest number of points.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shall summon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w:t>
      </w:r>
      <w:r w:rsidDel="00000000" w:rsidR="00000000" w:rsidRPr="00000000">
        <w:rPr>
          <w:rFonts w:ascii="Times New Roman" w:cs="Times New Roman" w:eastAsia="Times New Roman" w:hAnsi="Times New Roman"/>
          <w:b w:val="1"/>
          <w:rtl w:val="0"/>
        </w:rPr>
        <w:t xml:space="preserve"> 11</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August 2</w:t>
      </w:r>
      <w:r w:rsidDel="00000000" w:rsidR="00000000" w:rsidRPr="00000000">
        <w:rPr>
          <w:rFonts w:ascii="Times New Roman" w:cs="Times New Roman" w:eastAsia="Times New Roman" w:hAnsi="Times New Roman"/>
          <w:b w:val="1"/>
          <w:color w:val="000000"/>
          <w:rtl w:val="0"/>
        </w:rPr>
        <w:t xml:space="preserve">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30 days. The offer validity period begins with the submission deadline.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w:t>
      </w:r>
      <w:r w:rsidDel="00000000" w:rsidR="00000000" w:rsidRPr="00000000">
        <w:rPr>
          <w:rFonts w:ascii="Times New Roman" w:cs="Times New Roman" w:eastAsia="Times New Roman" w:hAnsi="Times New Roman"/>
          <w:b w:val="1"/>
          <w:rtl w:val="0"/>
        </w:rPr>
        <w:t xml:space="preserve">the total</w:t>
      </w:r>
      <w:r w:rsidDel="00000000" w:rsidR="00000000" w:rsidRPr="00000000">
        <w:rPr>
          <w:rFonts w:ascii="Times New Roman" w:cs="Times New Roman" w:eastAsia="Times New Roman" w:hAnsi="Times New Roman"/>
          <w:b w:val="1"/>
          <w:color w:val="000000"/>
          <w:rtl w:val="0"/>
        </w:rPr>
        <w:t xml:space="preserve"> cost of the subject of the contract.</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EUR,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w:t>
      </w:r>
      <w:r w:rsidDel="00000000" w:rsidR="00000000" w:rsidRPr="00000000">
        <w:rPr>
          <w:rFonts w:ascii="Times New Roman" w:cs="Times New Roman" w:eastAsia="Times New Roman" w:hAnsi="Times New Roman"/>
          <w:rtl w:val="0"/>
        </w:rPr>
        <w:t xml:space="preserve">tax on goods and services</w:t>
      </w:r>
      <w:r w:rsidDel="00000000" w:rsidR="00000000" w:rsidRPr="00000000">
        <w:rPr>
          <w:rFonts w:ascii="Times New Roman" w:cs="Times New Roman" w:eastAsia="Times New Roman" w:hAnsi="Times New Roman"/>
          <w:color w:val="000000"/>
          <w:rtl w:val="0"/>
        </w:rPr>
        <w:t xml:space="preserve">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bookmarkStart w:colFirst="0" w:colLast="0" w:name="_heading=h.1fob9te" w:id="5"/>
      <w:bookmarkEnd w:id="5"/>
      <w:r w:rsidDel="00000000" w:rsidR="00000000" w:rsidRPr="00000000">
        <w:rPr>
          <w:rFonts w:ascii="Times New Roman" w:cs="Times New Roman" w:eastAsia="Times New Roman" w:hAnsi="Times New Roman"/>
          <w:color w:val="000000"/>
          <w:u w:val="single"/>
          <w:rtl w:val="0"/>
        </w:rPr>
        <w:t xml:space="preserve">A specimen offer form is attached as Annex </w:t>
      </w:r>
      <w:r w:rsidDel="00000000" w:rsidR="00000000" w:rsidRPr="00000000">
        <w:rPr>
          <w:rFonts w:ascii="Times New Roman" w:cs="Times New Roman" w:eastAsia="Times New Roman" w:hAnsi="Times New Roman"/>
          <w:u w:val="single"/>
          <w:rtl w:val="0"/>
        </w:rPr>
        <w:t xml:space="preserve">7</w:t>
      </w:r>
      <w:r w:rsidDel="00000000" w:rsidR="00000000" w:rsidRPr="00000000">
        <w:rPr>
          <w:rFonts w:ascii="Times New Roman" w:cs="Times New Roman" w:eastAsia="Times New Roman" w:hAnsi="Times New Roman"/>
          <w:color w:val="000000"/>
          <w:u w:val="single"/>
          <w:rtl w:val="0"/>
        </w:rPr>
        <w:t xml:space="preserve"> to this request for quotation. The Awarding Entity requires the submission of an offer for the implementation of the Order using the template model form. The offer should contain the following attachments: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u w:val="single"/>
          <w:rtl w:val="0"/>
        </w:rPr>
        <w:t xml:space="preserve">excerpt from the</w:t>
      </w:r>
      <w:r w:rsidDel="00000000" w:rsidR="00000000" w:rsidRPr="00000000">
        <w:rPr>
          <w:rFonts w:ascii="Times New Roman" w:cs="Times New Roman" w:eastAsia="Times New Roman" w:hAnsi="Times New Roman"/>
          <w:b w:val="1"/>
          <w:color w:val="000000"/>
          <w:u w:val="single"/>
          <w:rtl w:val="0"/>
        </w:rPr>
        <w:t xml:space="preserve"> Contractor's KRS / Extract from the Contractor's CEIDG / other registration document issued not earlier than 3 months before the deadline for submitting bids - coming from the registration authority indicating the persons authorized to represent the Contractor; power of attorney if the offer is submitted by a proxy; description of submitted bids.</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bookmarkStart w:colFirst="0" w:colLast="0" w:name="_heading=h.3dy6vkm" w:id="6"/>
      <w:bookmarkEnd w:id="6"/>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Awarding Entity may:</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contracting authority excludes a contractor who does not meet the conditions for participation in the procurement procedure. </w:t>
      </w:r>
    </w:p>
    <w:p w:rsidR="00000000" w:rsidDel="00000000" w:rsidP="00000000" w:rsidRDefault="00000000" w:rsidRPr="00000000" w14:paraId="0000005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rejects the Contractor's bid if:</w:t>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w:t>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the contractor has submitted more than one offer. </w:t>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5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Employer are:</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Przemysław Ropelewski, e- mail: </w:t>
      </w:r>
      <w:hyperlink r:id="rId8">
        <w:r w:rsidDel="00000000" w:rsidR="00000000" w:rsidRPr="00000000">
          <w:rPr>
            <w:rFonts w:ascii="Times New Roman" w:cs="Times New Roman" w:eastAsia="Times New Roman" w:hAnsi="Times New Roman"/>
            <w:color w:val="0000ff"/>
            <w:u w:val="single"/>
            <w:rtl w:val="0"/>
          </w:rPr>
          <w:t xml:space="preserve">propelewski@vigo.com.pl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67">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68">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may close the Proceedings for awarding the Order without selecting any offer.</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the order</w:t>
      </w:r>
    </w:p>
    <w:p w:rsidR="00000000" w:rsidDel="00000000" w:rsidP="00000000" w:rsidRDefault="00000000" w:rsidRPr="00000000" w14:paraId="0000006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6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goods must comply with the specification contained in attachments to this Request for Proposals.</w:t>
      </w:r>
    </w:p>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delay in payment caused by the Employer, he shall pay the Contractor on written request a contractual penalty of 0.1% of the net order value for each day of delay - no more than 5%.</w:t>
      </w:r>
    </w:p>
    <w:p w:rsidR="00000000" w:rsidDel="00000000" w:rsidP="00000000" w:rsidRDefault="00000000" w:rsidRPr="00000000" w14:paraId="0000006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Employer </w:t>
      </w:r>
      <w:r w:rsidDel="00000000" w:rsidR="00000000" w:rsidRPr="00000000">
        <w:rPr>
          <w:rFonts w:ascii="Times New Roman" w:cs="Times New Roman" w:eastAsia="Times New Roman" w:hAnsi="Times New Roman"/>
          <w:rtl w:val="0"/>
        </w:rPr>
        <w:t xml:space="preserve">on written request</w:t>
      </w:r>
      <w:r w:rsidDel="00000000" w:rsidR="00000000" w:rsidRPr="00000000">
        <w:rPr>
          <w:rFonts w:ascii="Times New Roman" w:cs="Times New Roman" w:eastAsia="Times New Roman" w:hAnsi="Times New Roman"/>
          <w:color w:val="000000"/>
          <w:rtl w:val="0"/>
        </w:rPr>
        <w:t xml:space="preserve"> a contractual penalty of 0.1% of the net order value for each day of delay - no more than 5%.</w:t>
      </w:r>
    </w:p>
    <w:p w:rsidR="00000000" w:rsidDel="00000000" w:rsidP="00000000" w:rsidRDefault="00000000" w:rsidRPr="00000000" w14:paraId="00000070">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7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Employer </w:t>
      </w:r>
      <w:r w:rsidDel="00000000" w:rsidR="00000000" w:rsidRPr="00000000">
        <w:rPr>
          <w:rFonts w:ascii="Times New Roman" w:cs="Times New Roman" w:eastAsia="Times New Roman" w:hAnsi="Times New Roman"/>
          <w:rtl w:val="0"/>
        </w:rPr>
        <w:t xml:space="preserve">chooses</w:t>
      </w:r>
      <w:r w:rsidDel="00000000" w:rsidR="00000000" w:rsidRPr="00000000">
        <w:rPr>
          <w:rFonts w:ascii="Times New Roman" w:cs="Times New Roman" w:eastAsia="Times New Roman" w:hAnsi="Times New Roman"/>
          <w:color w:val="000000"/>
          <w:rtl w:val="0"/>
        </w:rPr>
        <w:t xml:space="preserve"> the best offer from among the remaining offers.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shd w:fill="cccccc" w:val="clea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shd w:fill="cccccc" w:val="clear"/>
        </w:rPr>
      </w:pPr>
      <w:bookmarkStart w:colFirst="0" w:colLast="0" w:name="_heading=h.1t3h5sf" w:id="7"/>
      <w:bookmarkEnd w:id="7"/>
      <w:r w:rsidDel="00000000" w:rsidR="00000000" w:rsidRPr="00000000">
        <w:rPr>
          <w:rFonts w:ascii="Times New Roman" w:cs="Times New Roman" w:eastAsia="Times New Roman" w:hAnsi="Times New Roman"/>
          <w:color w:val="000000"/>
          <w:shd w:fill="cccccc" w:val="clear"/>
          <w:rtl w:val="0"/>
        </w:rPr>
        <w:t xml:space="preserve">14. </w:t>
      </w:r>
      <w:r w:rsidDel="00000000" w:rsidR="00000000" w:rsidRPr="00000000">
        <w:rPr>
          <w:rFonts w:ascii="Times New Roman" w:cs="Times New Roman" w:eastAsia="Times New Roman" w:hAnsi="Times New Roman"/>
          <w:b w:val="1"/>
          <w:color w:val="000000"/>
          <w:shd w:fill="cccccc" w:val="clear"/>
          <w:rtl w:val="0"/>
        </w:rPr>
        <w:t xml:space="preserve">GDPR clause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administrator of your personal data is VIGO System S.A. based in Ożarów Mazowiecki;</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Mrs. Sylwia Wiśniewska-Fillipiak is the inspector of personal data protection; email address: ado@vigo.com.pl;</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recipients of your personal data will be persons or entities to whom the documentation of the proceedings will be made available pursuant to §12 of the Agreement on</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financing, hereinafter referred to as the "Agreement";</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in relation to your personal data, decisions will not be made in an automated manner, in accordance with art. 22 GDPR;</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you have:</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15 GDPR, the right to access your personal data;</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16 GDPR, the right to rectify your personal data;</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you are not entitled to:</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in connection with Art. 17 sec. 3 lit. b, d or e GDPR, the right to delete personal data;</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transfer personal data referred to in art. 20 GDPR;</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15.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87">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reserves the right to cancel the request for quotation at any time, without giving a reason.</w:t>
      </w:r>
    </w:p>
    <w:p w:rsidR="00000000" w:rsidDel="00000000" w:rsidP="00000000" w:rsidRDefault="00000000" w:rsidRPr="00000000" w14:paraId="00000088">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quotation:</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1 – Order description;</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2 – Order description;</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3 – Order description;</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4 – Order description;</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5 – Order description;</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6 – Order description;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7 – proposal form</w:t>
      </w:r>
      <w:r w:rsidDel="00000000" w:rsidR="00000000" w:rsidRPr="00000000">
        <w:rPr>
          <w:rFonts w:ascii="Times New Roman" w:cs="Times New Roman" w:eastAsia="Times New Roman" w:hAnsi="Times New Roman"/>
          <w:rtl w:val="0"/>
        </w:rPr>
        <w:t xml:space="preserve">;</w:t>
        <w:br w:type="textWrapping"/>
        <w:t xml:space="preserve">Attachment No. 8 – template of the power of attorney.</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2"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4"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8239EB"/>
    <w:rPr>
      <w:color w:val="0000ff" w:themeColor="hyperlink"/>
      <w:u w:val="single"/>
    </w:rPr>
  </w:style>
  <w:style w:type="character" w:styleId="Nierozpoznanawzmianka">
    <w:name w:val="Unresolved Mention"/>
    <w:basedOn w:val="Domylnaczcionkaakapitu"/>
    <w:uiPriority w:val="99"/>
    <w:semiHidden w:val="1"/>
    <w:unhideWhenUsed w:val="1"/>
    <w:rsid w:val="008239EB"/>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propelewski@vig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1yzri+Xb9/gyxOWkrgXs4mW9Q==">AMUW2mWrg7IZ7SMcXztsPq5tM4wQzNbbVQDkHUY15sDWwEaaXBEMsae4QfPrY5PNTesR7HILdp1+8pqxxwmweVn97mF2CaTIwb9iwTvWYwh/LEKlREDe78kSOs77X9aqYJv838s91Y19TfXT3tFKZ4eSzo+2duaRQf/p+OTAK8n9Sr/vEaZeQbDBARXmJ/4UncJhEzlGjUq5cfk/oIJd2eN18eWmpM3Mg/0YOAaY91KvKb+i4aBSlr0=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2021-07-30T11:46:00Z</dcterms:created>
  <dc:creator>Dominik Nowak</dc:creator>
</cp:coreProperties>
</file>